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numId w:val="0"/>
        </w:numPr>
        <w:kinsoku/>
        <w:wordWrap/>
        <w:overflowPunct/>
        <w:topLinePunct w:val="0"/>
        <w:autoSpaceDE/>
        <w:autoSpaceDN/>
        <w:bidi w:val="0"/>
        <w:adjustRightInd/>
        <w:snapToGrid/>
        <w:spacing w:line="360" w:lineRule="auto"/>
        <w:jc w:val="center"/>
        <w:textAlignment w:val="auto"/>
        <w:outlineLvl w:val="0"/>
        <w:rPr>
          <w:rFonts w:hint="eastAsia" w:ascii="宋体" w:hAnsi="宋体" w:cs="宋体"/>
          <w:b/>
          <w:kern w:val="2"/>
          <w:sz w:val="32"/>
          <w:szCs w:val="32"/>
          <w:lang w:val="zh-CN" w:eastAsia="zh-CN" w:bidi="ar-SA"/>
        </w:rPr>
      </w:pPr>
      <w:r>
        <w:rPr>
          <w:rFonts w:hint="eastAsia" w:ascii="宋体" w:hAnsi="宋体" w:cs="宋体"/>
          <w:b/>
          <w:kern w:val="2"/>
          <w:sz w:val="32"/>
          <w:szCs w:val="32"/>
          <w:lang w:val="zh-CN" w:eastAsia="zh-CN" w:bidi="ar-SA"/>
        </w:rPr>
        <w:t>采购需求</w:t>
      </w:r>
      <w:bookmarkStart w:id="2" w:name="_GoBack"/>
      <w:bookmarkEnd w:id="2"/>
    </w:p>
    <w:p>
      <w:pPr>
        <w:pStyle w:val="2"/>
        <w:rPr>
          <w:rFonts w:hint="eastAsia" w:ascii="宋体" w:hAnsi="宋体" w:eastAsia="宋体" w:cs="宋体"/>
          <w:color w:val="auto"/>
          <w:kern w:val="2"/>
          <w:sz w:val="21"/>
          <w:szCs w:val="21"/>
          <w:lang w:val="en-US" w:eastAsia="zh-CN" w:bidi="ar-SA"/>
        </w:rPr>
      </w:pPr>
      <w:r>
        <w:rPr>
          <w:rFonts w:hint="eastAsia" w:eastAsia="宋体"/>
          <w:b/>
          <w:bCs/>
          <w:lang w:eastAsia="zh-CN"/>
        </w:rPr>
        <w:t>一、项目内容</w:t>
      </w:r>
      <w:r>
        <w:rPr>
          <w:rFonts w:hint="eastAsia" w:ascii="宋体" w:hAnsi="宋体" w:eastAsia="宋体" w:cs="宋体"/>
          <w:color w:val="auto"/>
          <w:kern w:val="2"/>
          <w:sz w:val="21"/>
          <w:szCs w:val="21"/>
          <w:lang w:val="en-US" w:eastAsia="zh-CN" w:bidi="ar-SA"/>
        </w:rPr>
        <w:t>：12台电梯维保服务。具体项目内容如下：</w:t>
      </w:r>
    </w:p>
    <w:tbl>
      <w:tblPr>
        <w:tblStyle w:val="8"/>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592"/>
        <w:gridCol w:w="2211"/>
        <w:gridCol w:w="853"/>
        <w:gridCol w:w="1073"/>
        <w:gridCol w:w="846"/>
        <w:gridCol w:w="1281"/>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71" w:type="dxa"/>
            <w:noWrap/>
          </w:tcPr>
          <w:p>
            <w:pPr>
              <w:spacing w:line="240" w:lineRule="auto"/>
              <w:jc w:val="center"/>
              <w:rPr>
                <w:rFonts w:ascii="宋体" w:hAnsi="宋体" w:eastAsia="宋体" w:cs="宋体"/>
                <w:color w:val="1C1B10"/>
                <w:szCs w:val="21"/>
              </w:rPr>
            </w:pPr>
            <w:bookmarkStart w:id="0" w:name="_Hlk96158360"/>
            <w:bookmarkStart w:id="1" w:name="_Hlk106267351"/>
            <w:r>
              <w:rPr>
                <w:rFonts w:hint="eastAsia" w:ascii="宋体" w:hAnsi="宋体" w:eastAsia="宋体" w:cs="宋体"/>
                <w:b/>
                <w:bCs/>
                <w:color w:val="1C1B10"/>
                <w:szCs w:val="21"/>
              </w:rPr>
              <w:t>序号</w:t>
            </w:r>
          </w:p>
        </w:tc>
        <w:tc>
          <w:tcPr>
            <w:tcW w:w="1592" w:type="dxa"/>
            <w:noWrap/>
          </w:tcPr>
          <w:p>
            <w:pPr>
              <w:spacing w:line="480" w:lineRule="exact"/>
              <w:ind w:left="211" w:hanging="211" w:hangingChars="100"/>
              <w:jc w:val="center"/>
              <w:rPr>
                <w:rFonts w:ascii="宋体" w:hAnsi="宋体" w:eastAsia="宋体" w:cs="宋体"/>
                <w:b/>
                <w:bCs/>
                <w:color w:val="1C1B10"/>
                <w:szCs w:val="21"/>
              </w:rPr>
            </w:pPr>
            <w:r>
              <w:rPr>
                <w:rFonts w:ascii="宋体" w:hAnsi="宋体" w:eastAsia="宋体" w:cs="宋体"/>
                <w:b/>
                <w:bCs/>
                <w:color w:val="1C1B10"/>
                <w:szCs w:val="21"/>
              </w:rPr>
              <w:t>设备</w:t>
            </w:r>
            <w:r>
              <w:rPr>
                <w:rFonts w:hint="eastAsia" w:ascii="宋体" w:hAnsi="宋体" w:eastAsia="宋体" w:cs="宋体"/>
                <w:b/>
                <w:bCs/>
                <w:color w:val="1C1B10"/>
                <w:szCs w:val="21"/>
              </w:rPr>
              <w:t>所在院区</w:t>
            </w:r>
          </w:p>
        </w:tc>
        <w:tc>
          <w:tcPr>
            <w:tcW w:w="2211" w:type="dxa"/>
            <w:noWrap/>
          </w:tcPr>
          <w:p>
            <w:pPr>
              <w:spacing w:line="480" w:lineRule="exact"/>
              <w:jc w:val="center"/>
              <w:rPr>
                <w:rFonts w:ascii="宋体" w:hAnsi="宋体" w:eastAsia="宋体" w:cs="宋体"/>
                <w:b/>
                <w:bCs/>
                <w:color w:val="1C1B10"/>
                <w:szCs w:val="21"/>
              </w:rPr>
            </w:pPr>
            <w:r>
              <w:rPr>
                <w:rFonts w:ascii="宋体" w:hAnsi="宋体" w:eastAsia="宋体" w:cs="宋体"/>
                <w:b/>
                <w:bCs/>
                <w:color w:val="1C1B10"/>
                <w:szCs w:val="21"/>
              </w:rPr>
              <w:t>电梯型号</w:t>
            </w:r>
          </w:p>
        </w:tc>
        <w:tc>
          <w:tcPr>
            <w:tcW w:w="853" w:type="dxa"/>
            <w:noWrap/>
          </w:tcPr>
          <w:p>
            <w:pPr>
              <w:spacing w:line="480" w:lineRule="exact"/>
              <w:jc w:val="center"/>
              <w:rPr>
                <w:rFonts w:ascii="宋体" w:hAnsi="宋体" w:eastAsia="宋体" w:cs="宋体"/>
                <w:b/>
                <w:bCs/>
                <w:color w:val="1C1B10"/>
                <w:szCs w:val="21"/>
              </w:rPr>
            </w:pPr>
            <w:r>
              <w:rPr>
                <w:rFonts w:hint="eastAsia" w:ascii="宋体" w:hAnsi="宋体" w:eastAsia="宋体" w:cs="宋体"/>
                <w:b/>
                <w:bCs/>
                <w:color w:val="1C1B10"/>
                <w:szCs w:val="21"/>
              </w:rPr>
              <w:t>层站</w:t>
            </w:r>
          </w:p>
        </w:tc>
        <w:tc>
          <w:tcPr>
            <w:tcW w:w="1073" w:type="dxa"/>
            <w:noWrap/>
          </w:tcPr>
          <w:p>
            <w:pPr>
              <w:spacing w:line="480" w:lineRule="exact"/>
              <w:jc w:val="center"/>
              <w:rPr>
                <w:rFonts w:ascii="宋体" w:hAnsi="宋体" w:eastAsia="宋体" w:cs="宋体"/>
                <w:b/>
                <w:bCs/>
                <w:color w:val="1C1B10"/>
                <w:szCs w:val="21"/>
              </w:rPr>
            </w:pPr>
            <w:r>
              <w:rPr>
                <w:rFonts w:ascii="宋体" w:hAnsi="宋体" w:eastAsia="宋体" w:cs="宋体"/>
                <w:b/>
                <w:bCs/>
                <w:color w:val="1C1B10"/>
                <w:szCs w:val="21"/>
              </w:rPr>
              <w:t>载重</w:t>
            </w:r>
          </w:p>
        </w:tc>
        <w:tc>
          <w:tcPr>
            <w:tcW w:w="846" w:type="dxa"/>
            <w:noWrap/>
          </w:tcPr>
          <w:p>
            <w:pPr>
              <w:spacing w:line="480" w:lineRule="exact"/>
              <w:jc w:val="center"/>
              <w:rPr>
                <w:rFonts w:ascii="宋体" w:hAnsi="宋体" w:eastAsia="宋体" w:cs="宋体"/>
                <w:b/>
                <w:bCs/>
                <w:color w:val="1C1B10"/>
                <w:szCs w:val="21"/>
              </w:rPr>
            </w:pPr>
            <w:r>
              <w:rPr>
                <w:rFonts w:ascii="宋体" w:hAnsi="宋体" w:eastAsia="宋体" w:cs="宋体"/>
                <w:b/>
                <w:bCs/>
                <w:color w:val="1C1B10"/>
                <w:szCs w:val="21"/>
              </w:rPr>
              <w:t>速度</w:t>
            </w:r>
          </w:p>
        </w:tc>
        <w:tc>
          <w:tcPr>
            <w:tcW w:w="1281" w:type="dxa"/>
            <w:noWrap/>
          </w:tcPr>
          <w:p>
            <w:pPr>
              <w:spacing w:line="480" w:lineRule="exact"/>
              <w:jc w:val="center"/>
              <w:rPr>
                <w:rFonts w:ascii="宋体" w:hAnsi="宋体" w:eastAsia="宋体" w:cs="宋体"/>
                <w:b/>
                <w:bCs/>
                <w:color w:val="1C1B10"/>
                <w:szCs w:val="21"/>
              </w:rPr>
            </w:pPr>
            <w:r>
              <w:rPr>
                <w:rFonts w:ascii="宋体" w:hAnsi="宋体" w:eastAsia="宋体" w:cs="宋体"/>
                <w:b/>
                <w:bCs/>
                <w:color w:val="1C1B10"/>
                <w:szCs w:val="21"/>
              </w:rPr>
              <w:t>品牌</w:t>
            </w:r>
          </w:p>
        </w:tc>
        <w:tc>
          <w:tcPr>
            <w:tcW w:w="787" w:type="dxa"/>
          </w:tcPr>
          <w:p>
            <w:pPr>
              <w:spacing w:line="480" w:lineRule="exact"/>
              <w:jc w:val="center"/>
              <w:rPr>
                <w:rFonts w:ascii="宋体" w:hAnsi="宋体" w:eastAsia="宋体" w:cs="宋体"/>
                <w:b/>
                <w:bCs/>
                <w:color w:val="1C1B10"/>
                <w:szCs w:val="21"/>
              </w:rPr>
            </w:pPr>
            <w:r>
              <w:rPr>
                <w:rFonts w:hint="eastAsia" w:ascii="宋体" w:hAnsi="宋体" w:eastAsia="宋体" w:cs="宋体"/>
                <w:b/>
                <w:bCs/>
                <w:color w:val="1C1B10"/>
                <w:szCs w:val="21"/>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71" w:type="dxa"/>
            <w:noWrap/>
          </w:tcPr>
          <w:p>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1</w:t>
            </w:r>
          </w:p>
        </w:tc>
        <w:tc>
          <w:tcPr>
            <w:tcW w:w="1592" w:type="dxa"/>
            <w:noWrap/>
          </w:tcPr>
          <w:p>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华中路院区</w:t>
            </w:r>
          </w:p>
        </w:tc>
        <w:tc>
          <w:tcPr>
            <w:tcW w:w="2211" w:type="dxa"/>
            <w:noWrap/>
          </w:tcPr>
          <w:p>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TBJ1600/1.0-JXWVVVF</w:t>
            </w:r>
          </w:p>
        </w:tc>
        <w:tc>
          <w:tcPr>
            <w:tcW w:w="853" w:type="dxa"/>
            <w:noWrap/>
          </w:tcPr>
          <w:p>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4</w:t>
            </w:r>
          </w:p>
        </w:tc>
        <w:tc>
          <w:tcPr>
            <w:tcW w:w="1073" w:type="dxa"/>
            <w:noWrap/>
          </w:tcPr>
          <w:p>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1600kg</w:t>
            </w:r>
          </w:p>
        </w:tc>
        <w:tc>
          <w:tcPr>
            <w:tcW w:w="846" w:type="dxa"/>
            <w:noWrap/>
          </w:tcPr>
          <w:p>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1.0m/s</w:t>
            </w:r>
          </w:p>
        </w:tc>
        <w:tc>
          <w:tcPr>
            <w:tcW w:w="1281" w:type="dxa"/>
            <w:noWrap/>
          </w:tcPr>
          <w:p>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富士</w:t>
            </w:r>
          </w:p>
        </w:tc>
        <w:tc>
          <w:tcPr>
            <w:tcW w:w="787" w:type="dxa"/>
          </w:tcPr>
          <w:p>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71" w:type="dxa"/>
            <w:noWrap/>
          </w:tcPr>
          <w:p>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2</w:t>
            </w:r>
          </w:p>
        </w:tc>
        <w:tc>
          <w:tcPr>
            <w:tcW w:w="1592" w:type="dxa"/>
            <w:noWrap/>
          </w:tcPr>
          <w:p>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龙山院区</w:t>
            </w:r>
          </w:p>
        </w:tc>
        <w:tc>
          <w:tcPr>
            <w:tcW w:w="2211" w:type="dxa"/>
            <w:noWrap/>
          </w:tcPr>
          <w:p>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TBJ1600/1.0-JXW-VF</w:t>
            </w:r>
          </w:p>
        </w:tc>
        <w:tc>
          <w:tcPr>
            <w:tcW w:w="853" w:type="dxa"/>
            <w:noWrap/>
          </w:tcPr>
          <w:p>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4</w:t>
            </w:r>
          </w:p>
        </w:tc>
        <w:tc>
          <w:tcPr>
            <w:tcW w:w="1073" w:type="dxa"/>
            <w:noWrap/>
          </w:tcPr>
          <w:p>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1600kg</w:t>
            </w:r>
          </w:p>
        </w:tc>
        <w:tc>
          <w:tcPr>
            <w:tcW w:w="846" w:type="dxa"/>
            <w:noWrap/>
          </w:tcPr>
          <w:p>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1.0m/s</w:t>
            </w:r>
          </w:p>
        </w:tc>
        <w:tc>
          <w:tcPr>
            <w:tcW w:w="1281" w:type="dxa"/>
            <w:noWrap/>
          </w:tcPr>
          <w:p>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菱怡</w:t>
            </w:r>
          </w:p>
        </w:tc>
        <w:tc>
          <w:tcPr>
            <w:tcW w:w="787" w:type="dxa"/>
          </w:tcPr>
          <w:p>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71" w:type="dxa"/>
            <w:noWrap/>
          </w:tcPr>
          <w:p>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3</w:t>
            </w:r>
          </w:p>
        </w:tc>
        <w:tc>
          <w:tcPr>
            <w:tcW w:w="1592" w:type="dxa"/>
            <w:noWrap/>
          </w:tcPr>
          <w:p>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龙山院区</w:t>
            </w:r>
          </w:p>
        </w:tc>
        <w:tc>
          <w:tcPr>
            <w:tcW w:w="2211" w:type="dxa"/>
            <w:noWrap/>
          </w:tcPr>
          <w:p>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TBJ1600/1.0-JXWVVVF</w:t>
            </w:r>
          </w:p>
        </w:tc>
        <w:tc>
          <w:tcPr>
            <w:tcW w:w="853" w:type="dxa"/>
            <w:noWrap/>
          </w:tcPr>
          <w:p>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7</w:t>
            </w:r>
          </w:p>
        </w:tc>
        <w:tc>
          <w:tcPr>
            <w:tcW w:w="1073" w:type="dxa"/>
            <w:noWrap/>
          </w:tcPr>
          <w:p>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1600kg</w:t>
            </w:r>
          </w:p>
        </w:tc>
        <w:tc>
          <w:tcPr>
            <w:tcW w:w="846" w:type="dxa"/>
            <w:noWrap/>
          </w:tcPr>
          <w:p>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1.0m/s</w:t>
            </w:r>
          </w:p>
        </w:tc>
        <w:tc>
          <w:tcPr>
            <w:tcW w:w="1281" w:type="dxa"/>
            <w:noWrap/>
          </w:tcPr>
          <w:p>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富士</w:t>
            </w:r>
          </w:p>
        </w:tc>
        <w:tc>
          <w:tcPr>
            <w:tcW w:w="787" w:type="dxa"/>
          </w:tcPr>
          <w:p>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71" w:type="dxa"/>
            <w:noWrap/>
          </w:tcPr>
          <w:p>
            <w:pPr>
              <w:spacing w:line="480" w:lineRule="exact"/>
              <w:jc w:val="center"/>
              <w:rPr>
                <w:rFonts w:ascii="宋体" w:hAnsi="宋体" w:eastAsia="宋体" w:cs="宋体"/>
                <w:color w:val="1C1B10"/>
                <w:szCs w:val="21"/>
              </w:rPr>
            </w:pPr>
            <w:r>
              <w:rPr>
                <w:rFonts w:ascii="宋体" w:hAnsi="宋体" w:eastAsia="宋体" w:cs="宋体"/>
                <w:color w:val="1C1B10"/>
                <w:szCs w:val="21"/>
              </w:rPr>
              <w:t>4</w:t>
            </w:r>
          </w:p>
        </w:tc>
        <w:tc>
          <w:tcPr>
            <w:tcW w:w="1592" w:type="dxa"/>
            <w:noWrap/>
          </w:tcPr>
          <w:p>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孝肃路院区</w:t>
            </w:r>
          </w:p>
        </w:tc>
        <w:tc>
          <w:tcPr>
            <w:tcW w:w="2211" w:type="dxa"/>
            <w:noWrap/>
          </w:tcPr>
          <w:p>
            <w:pPr>
              <w:spacing w:line="480" w:lineRule="exact"/>
              <w:ind w:firstLine="420" w:firstLineChars="200"/>
              <w:jc w:val="center"/>
              <w:rPr>
                <w:rFonts w:ascii="宋体" w:hAnsi="宋体" w:eastAsia="宋体" w:cs="宋体"/>
                <w:szCs w:val="21"/>
              </w:rPr>
            </w:pPr>
            <w:r>
              <w:rPr>
                <w:rFonts w:hint="eastAsia" w:ascii="宋体" w:hAnsi="宋体" w:eastAsia="宋体" w:cs="宋体"/>
                <w:color w:val="1C1B10"/>
                <w:szCs w:val="21"/>
              </w:rPr>
              <w:t>TBJ</w:t>
            </w:r>
          </w:p>
        </w:tc>
        <w:tc>
          <w:tcPr>
            <w:tcW w:w="853" w:type="dxa"/>
            <w:noWrap/>
          </w:tcPr>
          <w:p>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6</w:t>
            </w:r>
          </w:p>
        </w:tc>
        <w:tc>
          <w:tcPr>
            <w:tcW w:w="1073" w:type="dxa"/>
            <w:noWrap/>
          </w:tcPr>
          <w:p>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1600kg</w:t>
            </w:r>
          </w:p>
        </w:tc>
        <w:tc>
          <w:tcPr>
            <w:tcW w:w="846" w:type="dxa"/>
            <w:noWrap/>
          </w:tcPr>
          <w:p>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1.0m/s</w:t>
            </w:r>
          </w:p>
        </w:tc>
        <w:tc>
          <w:tcPr>
            <w:tcW w:w="1281" w:type="dxa"/>
            <w:noWrap/>
          </w:tcPr>
          <w:p>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菱怡</w:t>
            </w:r>
          </w:p>
        </w:tc>
        <w:tc>
          <w:tcPr>
            <w:tcW w:w="787" w:type="dxa"/>
          </w:tcPr>
          <w:p>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71" w:type="dxa"/>
            <w:noWrap/>
          </w:tcPr>
          <w:p>
            <w:pPr>
              <w:spacing w:line="480" w:lineRule="exact"/>
              <w:jc w:val="center"/>
              <w:rPr>
                <w:rFonts w:ascii="宋体" w:hAnsi="宋体" w:eastAsia="宋体" w:cs="宋体"/>
                <w:color w:val="1C1B10"/>
                <w:szCs w:val="21"/>
              </w:rPr>
            </w:pPr>
            <w:r>
              <w:rPr>
                <w:rFonts w:ascii="宋体" w:hAnsi="宋体" w:eastAsia="宋体" w:cs="宋体"/>
                <w:color w:val="1C1B10"/>
                <w:szCs w:val="21"/>
              </w:rPr>
              <w:t>5</w:t>
            </w:r>
          </w:p>
        </w:tc>
        <w:tc>
          <w:tcPr>
            <w:tcW w:w="1592" w:type="dxa"/>
            <w:noWrap/>
          </w:tcPr>
          <w:p>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孝肃路院区</w:t>
            </w:r>
          </w:p>
        </w:tc>
        <w:tc>
          <w:tcPr>
            <w:tcW w:w="2211" w:type="dxa"/>
            <w:noWrap/>
          </w:tcPr>
          <w:p>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MPH-B1600-CO60</w:t>
            </w:r>
          </w:p>
        </w:tc>
        <w:tc>
          <w:tcPr>
            <w:tcW w:w="853" w:type="dxa"/>
            <w:noWrap/>
          </w:tcPr>
          <w:p>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6</w:t>
            </w:r>
          </w:p>
        </w:tc>
        <w:tc>
          <w:tcPr>
            <w:tcW w:w="1073" w:type="dxa"/>
            <w:noWrap/>
          </w:tcPr>
          <w:p>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1600kg</w:t>
            </w:r>
          </w:p>
        </w:tc>
        <w:tc>
          <w:tcPr>
            <w:tcW w:w="846" w:type="dxa"/>
            <w:noWrap/>
          </w:tcPr>
          <w:p>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1.0m/s</w:t>
            </w:r>
          </w:p>
        </w:tc>
        <w:tc>
          <w:tcPr>
            <w:tcW w:w="1281" w:type="dxa"/>
            <w:noWrap/>
          </w:tcPr>
          <w:p>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日立</w:t>
            </w:r>
          </w:p>
        </w:tc>
        <w:tc>
          <w:tcPr>
            <w:tcW w:w="787" w:type="dxa"/>
          </w:tcPr>
          <w:p>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671" w:type="dxa"/>
            <w:noWrap/>
          </w:tcPr>
          <w:p>
            <w:pPr>
              <w:spacing w:line="480" w:lineRule="exact"/>
              <w:jc w:val="center"/>
              <w:rPr>
                <w:rFonts w:ascii="宋体" w:hAnsi="宋体" w:eastAsia="宋体" w:cs="宋体"/>
                <w:color w:val="1C1B10"/>
                <w:szCs w:val="21"/>
              </w:rPr>
            </w:pPr>
            <w:r>
              <w:rPr>
                <w:rFonts w:ascii="宋体" w:hAnsi="宋体" w:eastAsia="宋体" w:cs="宋体"/>
                <w:color w:val="1C1B10"/>
                <w:szCs w:val="21"/>
              </w:rPr>
              <w:t>6</w:t>
            </w:r>
          </w:p>
        </w:tc>
        <w:tc>
          <w:tcPr>
            <w:tcW w:w="1592" w:type="dxa"/>
            <w:noWrap/>
          </w:tcPr>
          <w:p>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孝肃路院区</w:t>
            </w:r>
          </w:p>
        </w:tc>
        <w:tc>
          <w:tcPr>
            <w:tcW w:w="2211" w:type="dxa"/>
            <w:noWrap/>
          </w:tcPr>
          <w:p>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NPH-B1600-2560</w:t>
            </w:r>
          </w:p>
        </w:tc>
        <w:tc>
          <w:tcPr>
            <w:tcW w:w="853" w:type="dxa"/>
            <w:noWrap/>
          </w:tcPr>
          <w:p>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5</w:t>
            </w:r>
          </w:p>
        </w:tc>
        <w:tc>
          <w:tcPr>
            <w:tcW w:w="1073" w:type="dxa"/>
            <w:noWrap/>
          </w:tcPr>
          <w:p>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1600kg</w:t>
            </w:r>
          </w:p>
        </w:tc>
        <w:tc>
          <w:tcPr>
            <w:tcW w:w="846" w:type="dxa"/>
            <w:noWrap/>
          </w:tcPr>
          <w:p>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1.0m/s</w:t>
            </w:r>
          </w:p>
        </w:tc>
        <w:tc>
          <w:tcPr>
            <w:tcW w:w="1281" w:type="dxa"/>
            <w:noWrap/>
          </w:tcPr>
          <w:p>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日立</w:t>
            </w:r>
          </w:p>
        </w:tc>
        <w:tc>
          <w:tcPr>
            <w:tcW w:w="787" w:type="dxa"/>
          </w:tcPr>
          <w:p>
            <w:pPr>
              <w:spacing w:line="480" w:lineRule="exact"/>
              <w:jc w:val="center"/>
              <w:rPr>
                <w:rFonts w:ascii="宋体" w:hAnsi="宋体" w:eastAsia="宋体" w:cs="宋体"/>
                <w:color w:val="1C1B10"/>
                <w:szCs w:val="21"/>
              </w:rPr>
            </w:pPr>
            <w:r>
              <w:rPr>
                <w:rFonts w:hint="eastAsia" w:ascii="宋体" w:hAnsi="宋体" w:eastAsia="宋体" w:cs="宋体"/>
                <w:color w:val="1C1B10"/>
                <w:szCs w:val="21"/>
              </w:rPr>
              <w:t>2台</w:t>
            </w:r>
          </w:p>
        </w:tc>
      </w:tr>
    </w:tbl>
    <w:p>
      <w:pPr>
        <w:spacing w:line="360" w:lineRule="auto"/>
        <w:ind w:firstLine="422" w:firstLineChars="200"/>
        <w:rPr>
          <w:rFonts w:hint="eastAsia" w:ascii="宋体" w:hAnsi="宋体" w:eastAsia="宋体" w:cs="宋体"/>
          <w:b/>
          <w:szCs w:val="21"/>
          <w:lang w:eastAsia="zh-CN"/>
        </w:rPr>
      </w:pPr>
      <w:r>
        <w:rPr>
          <w:rFonts w:hint="eastAsia" w:ascii="宋体" w:hAnsi="宋体" w:eastAsia="宋体" w:cs="宋体"/>
          <w:b/>
          <w:szCs w:val="21"/>
          <w:lang w:eastAsia="zh-CN"/>
        </w:rPr>
        <w:t>二、</w:t>
      </w:r>
      <w:bookmarkEnd w:id="0"/>
      <w:bookmarkEnd w:id="1"/>
      <w:r>
        <w:rPr>
          <w:rFonts w:hint="eastAsia" w:ascii="宋体" w:hAnsi="宋体" w:eastAsia="宋体" w:cs="宋体"/>
          <w:b/>
          <w:szCs w:val="21"/>
          <w:lang w:eastAsia="zh-CN"/>
        </w:rPr>
        <w:t>服务期限：</w:t>
      </w:r>
    </w:p>
    <w:p>
      <w:pPr>
        <w:spacing w:line="360" w:lineRule="auto"/>
        <w:ind w:firstLine="420" w:firstLineChars="200"/>
        <w:rPr>
          <w:rFonts w:hint="eastAsia" w:ascii="宋体" w:hAnsi="宋体" w:eastAsia="宋体" w:cs="宋体"/>
          <w:b w:val="0"/>
          <w:bCs/>
          <w:szCs w:val="21"/>
          <w:lang w:eastAsia="zh-CN"/>
        </w:rPr>
      </w:pPr>
      <w:r>
        <w:rPr>
          <w:rFonts w:hint="eastAsia" w:ascii="宋体" w:hAnsi="宋体" w:eastAsia="宋体" w:cs="宋体"/>
          <w:b w:val="0"/>
          <w:bCs/>
          <w:szCs w:val="21"/>
          <w:lang w:eastAsia="zh-CN"/>
        </w:rPr>
        <w:t>（1）孝肃路院区：自2025年1月31日起至2027年1月6日止；</w:t>
      </w:r>
    </w:p>
    <w:p>
      <w:pPr>
        <w:spacing w:line="360" w:lineRule="auto"/>
        <w:ind w:firstLine="420" w:firstLineChars="200"/>
        <w:rPr>
          <w:rFonts w:hint="eastAsia" w:ascii="宋体" w:hAnsi="宋体" w:eastAsia="宋体" w:cs="宋体"/>
          <w:b w:val="0"/>
          <w:bCs/>
          <w:szCs w:val="21"/>
          <w:lang w:eastAsia="zh-CN"/>
        </w:rPr>
      </w:pPr>
      <w:r>
        <w:rPr>
          <w:rFonts w:hint="eastAsia" w:ascii="宋体" w:hAnsi="宋体" w:eastAsia="宋体" w:cs="宋体"/>
          <w:b w:val="0"/>
          <w:bCs/>
          <w:szCs w:val="21"/>
          <w:lang w:eastAsia="zh-CN"/>
        </w:rPr>
        <w:t>（2）龙山院区和华中路院区：自2025年1月7日起至2027年1月6日止。</w:t>
      </w:r>
    </w:p>
    <w:p>
      <w:pPr>
        <w:spacing w:line="360" w:lineRule="auto"/>
        <w:ind w:firstLine="422" w:firstLineChars="200"/>
        <w:rPr>
          <w:rFonts w:hint="eastAsia" w:ascii="宋体" w:hAnsi="宋体" w:eastAsia="宋体" w:cs="宋体"/>
          <w:b/>
          <w:bCs w:val="0"/>
          <w:szCs w:val="21"/>
          <w:lang w:eastAsia="zh-CN"/>
        </w:rPr>
      </w:pPr>
      <w:r>
        <w:rPr>
          <w:rFonts w:hint="eastAsia" w:ascii="宋体" w:hAnsi="宋体" w:cs="宋体"/>
          <w:b/>
          <w:bCs w:val="0"/>
          <w:szCs w:val="21"/>
          <w:lang w:eastAsia="zh-CN"/>
        </w:rPr>
        <w:t>三、</w:t>
      </w:r>
      <w:r>
        <w:rPr>
          <w:rFonts w:hint="eastAsia" w:ascii="宋体" w:hAnsi="宋体" w:eastAsia="宋体" w:cs="宋体"/>
          <w:b/>
          <w:bCs w:val="0"/>
          <w:szCs w:val="21"/>
          <w:lang w:eastAsia="zh-CN"/>
        </w:rPr>
        <w:t>维保服务内容及要求：</w:t>
      </w:r>
    </w:p>
    <w:p>
      <w:pPr>
        <w:spacing w:line="360" w:lineRule="auto"/>
        <w:ind w:firstLine="420" w:firstLineChars="200"/>
        <w:rPr>
          <w:rFonts w:hint="eastAsia" w:ascii="宋体" w:hAnsi="宋体" w:eastAsia="宋体" w:cs="宋体"/>
          <w:b w:val="0"/>
          <w:bCs/>
          <w:szCs w:val="21"/>
          <w:lang w:eastAsia="zh-CN"/>
        </w:rPr>
      </w:pPr>
      <w:r>
        <w:rPr>
          <w:rFonts w:hint="eastAsia" w:ascii="宋体" w:hAnsi="宋体" w:cs="宋体"/>
          <w:b w:val="0"/>
          <w:bCs/>
          <w:szCs w:val="21"/>
          <w:lang w:val="en-US" w:eastAsia="zh-CN"/>
        </w:rPr>
        <w:t>1.</w:t>
      </w:r>
      <w:r>
        <w:rPr>
          <w:rFonts w:hint="eastAsia" w:ascii="宋体" w:hAnsi="宋体" w:eastAsia="宋体" w:cs="宋体"/>
          <w:b w:val="0"/>
          <w:bCs/>
          <w:szCs w:val="21"/>
          <w:lang w:eastAsia="zh-CN"/>
        </w:rPr>
        <w:t>本次电梯维保服务项目为全包服务，要求按国家相关规范及院内电梯实际运行需求落实电梯日常维修、维护、保养、应急演练、日常安全管理、年度检测、检测校验等服务。维修维护中所需所有配件均由中标人提供，除合同维保费外，招标人在维保过程中不承担任何其他费用。</w:t>
      </w:r>
    </w:p>
    <w:p>
      <w:pPr>
        <w:spacing w:line="360" w:lineRule="auto"/>
        <w:ind w:firstLine="420" w:firstLineChars="200"/>
        <w:rPr>
          <w:rFonts w:hint="eastAsia" w:ascii="宋体" w:hAnsi="宋体" w:eastAsia="宋体" w:cs="宋体"/>
          <w:b w:val="0"/>
          <w:bCs/>
          <w:szCs w:val="21"/>
          <w:lang w:eastAsia="zh-CN"/>
        </w:rPr>
      </w:pPr>
      <w:r>
        <w:rPr>
          <w:rFonts w:hint="eastAsia" w:ascii="宋体" w:hAnsi="宋体" w:cs="宋体"/>
          <w:b w:val="0"/>
          <w:bCs/>
          <w:szCs w:val="21"/>
          <w:lang w:val="en-US" w:eastAsia="zh-CN"/>
        </w:rPr>
        <w:t>2.</w:t>
      </w:r>
      <w:r>
        <w:rPr>
          <w:rFonts w:hint="eastAsia" w:ascii="宋体" w:hAnsi="宋体" w:eastAsia="宋体" w:cs="宋体"/>
          <w:b w:val="0"/>
          <w:bCs/>
          <w:szCs w:val="21"/>
          <w:lang w:eastAsia="zh-CN"/>
        </w:rPr>
        <w:t>中标人须按下列标准及要求进行电梯维护保养：</w:t>
      </w:r>
    </w:p>
    <w:p>
      <w:pPr>
        <w:spacing w:line="360" w:lineRule="auto"/>
        <w:ind w:firstLine="420" w:firstLineChars="200"/>
        <w:rPr>
          <w:rFonts w:hint="eastAsia" w:ascii="宋体" w:hAnsi="宋体" w:eastAsia="宋体" w:cs="宋体"/>
          <w:b w:val="0"/>
          <w:bCs/>
          <w:szCs w:val="21"/>
          <w:lang w:eastAsia="zh-CN"/>
        </w:rPr>
      </w:pPr>
      <w:r>
        <w:rPr>
          <w:rFonts w:hint="eastAsia" w:ascii="宋体" w:hAnsi="宋体" w:eastAsia="宋体" w:cs="宋体"/>
          <w:b w:val="0"/>
          <w:bCs/>
          <w:szCs w:val="21"/>
          <w:lang w:eastAsia="zh-CN"/>
        </w:rPr>
        <w:t>①TSG T5002-2017 《电梯维护保养规则》；</w:t>
      </w:r>
    </w:p>
    <w:p>
      <w:pPr>
        <w:spacing w:line="360" w:lineRule="auto"/>
        <w:ind w:firstLine="420" w:firstLineChars="200"/>
        <w:rPr>
          <w:rFonts w:hint="eastAsia" w:ascii="宋体" w:hAnsi="宋体" w:eastAsia="宋体" w:cs="宋体"/>
          <w:b w:val="0"/>
          <w:bCs/>
          <w:szCs w:val="21"/>
          <w:lang w:eastAsia="zh-CN"/>
        </w:rPr>
      </w:pPr>
      <w:r>
        <w:rPr>
          <w:rFonts w:hint="eastAsia" w:ascii="宋体" w:hAnsi="宋体" w:eastAsia="宋体" w:cs="宋体"/>
          <w:b w:val="0"/>
          <w:bCs/>
          <w:szCs w:val="21"/>
          <w:lang w:eastAsia="zh-CN"/>
        </w:rPr>
        <w:t>②GB/T 18775-2009 《电梯、自动扶梯和自动人行道维修规范》；</w:t>
      </w:r>
    </w:p>
    <w:p>
      <w:pPr>
        <w:spacing w:line="360" w:lineRule="auto"/>
        <w:ind w:firstLine="420" w:firstLineChars="200"/>
        <w:rPr>
          <w:rFonts w:hint="eastAsia" w:ascii="宋体" w:hAnsi="宋体" w:eastAsia="宋体" w:cs="宋体"/>
          <w:b w:val="0"/>
          <w:bCs/>
          <w:szCs w:val="21"/>
          <w:lang w:eastAsia="zh-CN"/>
        </w:rPr>
      </w:pPr>
      <w:r>
        <w:rPr>
          <w:rFonts w:hint="eastAsia" w:ascii="宋体" w:hAnsi="宋体" w:eastAsia="宋体" w:cs="宋体"/>
          <w:b w:val="0"/>
          <w:bCs/>
          <w:szCs w:val="21"/>
          <w:lang w:eastAsia="zh-CN"/>
        </w:rPr>
        <w:t>③TSG T7001-2009 《电梯监督检验和定期检验规则—曳引与强制驱动电梯》</w:t>
      </w:r>
    </w:p>
    <w:p>
      <w:pPr>
        <w:spacing w:line="360" w:lineRule="auto"/>
        <w:ind w:firstLine="420" w:firstLineChars="200"/>
        <w:rPr>
          <w:rFonts w:hint="eastAsia" w:ascii="宋体" w:hAnsi="宋体" w:eastAsia="宋体" w:cs="宋体"/>
          <w:b w:val="0"/>
          <w:bCs/>
          <w:szCs w:val="21"/>
          <w:lang w:eastAsia="zh-CN"/>
        </w:rPr>
      </w:pPr>
      <w:r>
        <w:rPr>
          <w:rFonts w:hint="eastAsia" w:ascii="宋体" w:hAnsi="宋体" w:eastAsia="宋体" w:cs="宋体"/>
          <w:b w:val="0"/>
          <w:bCs/>
          <w:szCs w:val="21"/>
          <w:lang w:eastAsia="zh-CN"/>
        </w:rPr>
        <w:t>④电梯安装使用维护说明书；</w:t>
      </w:r>
    </w:p>
    <w:p>
      <w:pPr>
        <w:spacing w:line="360" w:lineRule="auto"/>
        <w:ind w:firstLine="420" w:firstLineChars="200"/>
        <w:rPr>
          <w:rFonts w:hint="eastAsia" w:ascii="宋体" w:hAnsi="宋体" w:eastAsia="宋体" w:cs="宋体"/>
          <w:b w:val="0"/>
          <w:bCs/>
          <w:szCs w:val="21"/>
          <w:lang w:eastAsia="zh-CN"/>
        </w:rPr>
      </w:pPr>
      <w:r>
        <w:rPr>
          <w:rFonts w:hint="eastAsia" w:ascii="宋体" w:hAnsi="宋体" w:eastAsia="宋体" w:cs="宋体"/>
          <w:b w:val="0"/>
          <w:bCs/>
          <w:szCs w:val="21"/>
          <w:lang w:eastAsia="zh-CN"/>
        </w:rPr>
        <w:t>⑤安庆市电梯安全监察办法；</w:t>
      </w:r>
    </w:p>
    <w:p>
      <w:pPr>
        <w:spacing w:line="360" w:lineRule="auto"/>
        <w:ind w:firstLine="420" w:firstLineChars="200"/>
        <w:rPr>
          <w:rFonts w:hint="eastAsia" w:ascii="宋体" w:hAnsi="宋体" w:eastAsia="宋体" w:cs="宋体"/>
          <w:b w:val="0"/>
          <w:bCs/>
          <w:szCs w:val="21"/>
          <w:lang w:eastAsia="zh-CN"/>
        </w:rPr>
      </w:pPr>
      <w:r>
        <w:rPr>
          <w:rFonts w:hint="eastAsia" w:ascii="宋体" w:hAnsi="宋体" w:eastAsia="宋体" w:cs="宋体"/>
          <w:b w:val="0"/>
          <w:bCs/>
          <w:szCs w:val="21"/>
          <w:lang w:eastAsia="zh-CN"/>
        </w:rPr>
        <w:t>⑥本次招标文件、投标文件、合同。</w:t>
      </w:r>
    </w:p>
    <w:p>
      <w:pPr>
        <w:spacing w:line="360" w:lineRule="auto"/>
        <w:ind w:firstLine="420" w:firstLineChars="200"/>
        <w:rPr>
          <w:rFonts w:hint="eastAsia" w:ascii="宋体" w:hAnsi="宋体" w:eastAsia="宋体" w:cs="宋体"/>
          <w:b w:val="0"/>
          <w:bCs/>
          <w:szCs w:val="21"/>
          <w:highlight w:val="none"/>
          <w:lang w:eastAsia="zh-CN"/>
        </w:rPr>
      </w:pPr>
      <w:r>
        <w:rPr>
          <w:rFonts w:hint="eastAsia" w:ascii="宋体" w:hAnsi="宋体" w:eastAsia="宋体" w:cs="宋体"/>
          <w:b w:val="0"/>
          <w:bCs/>
          <w:szCs w:val="21"/>
          <w:lang w:eastAsia="zh-CN"/>
        </w:rPr>
        <w:t>包括但不限于以上标准规范，若服务期内出</w:t>
      </w:r>
      <w:r>
        <w:rPr>
          <w:rFonts w:hint="eastAsia" w:ascii="宋体" w:hAnsi="宋体" w:eastAsia="宋体" w:cs="宋体"/>
          <w:b w:val="0"/>
          <w:bCs/>
          <w:szCs w:val="21"/>
          <w:highlight w:val="none"/>
          <w:lang w:eastAsia="zh-CN"/>
        </w:rPr>
        <w:t>台新的标准和规范，中标人须无条件执行。</w:t>
      </w:r>
    </w:p>
    <w:p>
      <w:pPr>
        <w:spacing w:line="360" w:lineRule="auto"/>
        <w:ind w:firstLine="420" w:firstLineChars="200"/>
        <w:rPr>
          <w:rFonts w:hint="eastAsia" w:ascii="宋体" w:hAnsi="宋体" w:eastAsia="宋体" w:cs="宋体"/>
          <w:b w:val="0"/>
          <w:bCs/>
          <w:szCs w:val="21"/>
          <w:highlight w:val="none"/>
          <w:lang w:eastAsia="zh-CN"/>
        </w:rPr>
      </w:pPr>
      <w:r>
        <w:rPr>
          <w:rFonts w:hint="eastAsia" w:ascii="宋体" w:hAnsi="宋体" w:cs="宋体"/>
          <w:b w:val="0"/>
          <w:bCs/>
          <w:szCs w:val="21"/>
          <w:highlight w:val="none"/>
          <w:lang w:val="en-US" w:eastAsia="zh-CN"/>
        </w:rPr>
        <w:t>3.</w:t>
      </w:r>
      <w:r>
        <w:rPr>
          <w:rFonts w:hint="eastAsia" w:ascii="宋体" w:hAnsi="宋体" w:eastAsia="宋体" w:cs="宋体"/>
          <w:b w:val="0"/>
          <w:bCs/>
          <w:szCs w:val="21"/>
          <w:highlight w:val="none"/>
          <w:lang w:eastAsia="zh-CN"/>
        </w:rPr>
        <w:t>中标人负责电梯日常维护保养，按规范及招标人要求完成电梯每日检查、每半月、每季度、每半年的维保项目，及时处理电梯故障及困人事件，确保电梯安全、舒适、可靠的运行。</w:t>
      </w:r>
    </w:p>
    <w:p>
      <w:pPr>
        <w:spacing w:line="360" w:lineRule="auto"/>
        <w:ind w:firstLine="420" w:firstLineChars="200"/>
        <w:rPr>
          <w:rFonts w:hint="eastAsia" w:ascii="宋体" w:hAnsi="宋体" w:eastAsia="宋体" w:cs="宋体"/>
          <w:b w:val="0"/>
          <w:bCs/>
          <w:szCs w:val="21"/>
          <w:highlight w:val="none"/>
          <w:lang w:eastAsia="zh-CN"/>
        </w:rPr>
      </w:pPr>
      <w:r>
        <w:rPr>
          <w:rFonts w:hint="eastAsia" w:ascii="宋体" w:hAnsi="宋体" w:cs="宋体"/>
          <w:b w:val="0"/>
          <w:bCs/>
          <w:szCs w:val="21"/>
          <w:highlight w:val="none"/>
          <w:lang w:val="en-US" w:eastAsia="zh-CN"/>
        </w:rPr>
        <w:t>4.</w:t>
      </w:r>
      <w:r>
        <w:rPr>
          <w:rFonts w:hint="eastAsia" w:ascii="宋体" w:hAnsi="宋体" w:eastAsia="宋体" w:cs="宋体"/>
          <w:b w:val="0"/>
          <w:bCs/>
          <w:szCs w:val="21"/>
          <w:highlight w:val="none"/>
          <w:lang w:eastAsia="zh-CN"/>
        </w:rPr>
        <w:t>电梯的日检查保养项目：检查电动机温升、油位、油色和电动机的声音是否正常,有无异味、异常响声和振动,风机是否运转良好,做好外部清洁工作。检查减速器传动有无异常声音和振动,联结轴是否渗油,做好外部清洁工作。检查制动器线圈温升是否正常,检查制动轮、闸瓦、传动臂是否工作正常。检查继电器、接触器动作是否正常,有无异味及异常响声。检查曳引轮、曳引绳、限速器、导向轮、抗绳轮、反绳轮、涨绳轮运行是否正常,有无异常声响,有无曳引绳断丝等。检查变压器、电阻器、电抗器有无过热。检查机房温度是否符合规定需求,保持机房清洁状况良好,机房不得堆放易燃和腐蚀性物品,消防器材齐备良好,去往机房的通道应畅通,通讯设施良好,机房照明是否正常。对自动扶梯上下部机房、安全装置、扶手驱动装置进行检查、调整、润滑和清洁。包括但不限于以上日检内容及要求。如有不正常现象应立即停梯进行修理,调整或更换。暂时不能处理而又允许暂缓处理的应跟踪运行,观察其发展情况,防止发生事故，若发现严重现象应立即报告招标人主管部门进行停梯修理。</w:t>
      </w:r>
    </w:p>
    <w:p>
      <w:pPr>
        <w:spacing w:line="360" w:lineRule="auto"/>
        <w:ind w:firstLine="420" w:firstLineChars="200"/>
        <w:rPr>
          <w:rFonts w:hint="eastAsia" w:ascii="宋体" w:hAnsi="宋体" w:eastAsia="宋体" w:cs="宋体"/>
          <w:b w:val="0"/>
          <w:bCs/>
          <w:szCs w:val="21"/>
          <w:highlight w:val="none"/>
          <w:lang w:eastAsia="zh-CN"/>
        </w:rPr>
      </w:pPr>
      <w:r>
        <w:rPr>
          <w:rFonts w:hint="eastAsia" w:ascii="宋体" w:hAnsi="宋体" w:cs="宋体"/>
          <w:b w:val="0"/>
          <w:bCs/>
          <w:szCs w:val="21"/>
          <w:highlight w:val="none"/>
          <w:lang w:val="en-US" w:eastAsia="zh-CN"/>
        </w:rPr>
        <w:t>5.</w:t>
      </w:r>
      <w:r>
        <w:rPr>
          <w:rFonts w:hint="eastAsia" w:ascii="宋体" w:hAnsi="宋体" w:eastAsia="宋体" w:cs="宋体"/>
          <w:b w:val="0"/>
          <w:bCs/>
          <w:szCs w:val="21"/>
          <w:highlight w:val="none"/>
          <w:lang w:eastAsia="zh-CN"/>
        </w:rPr>
        <w:t>电梯的周检查保养项目：检查抱闸间隙,抱闸间隙应保证在0.7mm之内且均匀,间隙过大时应予以调整,紧固连接螺栓。检查安全装置的工作情况,发现问题及时处理。检查调整电梯的平层装置。检查轿内按钮动作情况。检查轿内信号(指示器、蜂鸣器、对讲系统等)。检查轿门开关工作情况及完好性。检查轿内风扇及照明工作情况及完好性。检查曳引绳的工作情况及连接情况是否正常。包括但不限于以上周检内容及要求。如有不正常现象应立即停梯进行修理,调整或更换。暂时不能处理而又允许暂缓处理的应跟踪运行,观察其发展情况,防止发生事故，若发现严重现象应立即报告招标人主管部门进行停梯修理。</w:t>
      </w:r>
    </w:p>
    <w:p>
      <w:pPr>
        <w:spacing w:line="360" w:lineRule="auto"/>
        <w:ind w:firstLine="420" w:firstLineChars="200"/>
        <w:rPr>
          <w:rFonts w:hint="eastAsia" w:ascii="宋体" w:hAnsi="宋体" w:eastAsia="宋体" w:cs="宋体"/>
          <w:b w:val="0"/>
          <w:bCs/>
          <w:szCs w:val="21"/>
          <w:highlight w:val="none"/>
          <w:lang w:eastAsia="zh-CN"/>
        </w:rPr>
      </w:pPr>
      <w:r>
        <w:rPr>
          <w:rFonts w:hint="eastAsia" w:ascii="宋体" w:hAnsi="宋体" w:cs="宋体"/>
          <w:b w:val="0"/>
          <w:bCs/>
          <w:szCs w:val="21"/>
          <w:highlight w:val="none"/>
          <w:lang w:val="en-US" w:eastAsia="zh-CN"/>
        </w:rPr>
        <w:t>6.</w:t>
      </w:r>
      <w:r>
        <w:rPr>
          <w:rFonts w:hint="eastAsia" w:ascii="宋体" w:hAnsi="宋体" w:eastAsia="宋体" w:cs="宋体"/>
          <w:b w:val="0"/>
          <w:bCs/>
          <w:szCs w:val="21"/>
          <w:highlight w:val="none"/>
          <w:lang w:eastAsia="zh-CN"/>
        </w:rPr>
        <w:t>电梯的月检查保养项目：对电梯减速器作一次仔细检查。对限速器作一次仔细检查。对安全钳作一次仔细检查。对缓冲器作一次仔细检查。对厅门锁作一次仔细检查。对自动门重新开启进行检查。对门的导轨进行检查清洗。对曳引机、电动机油位进行检查。检查接触器触头,衔铁是否良好。检查导向轮、反绳轮、选层器的润滑情况。对井道设施做一次检查。对各润滑系统进行一次检查。对各安全开关操作检查一次。包括但不限于以上月检内容及要求。如有不正常现象应立即停梯进行修理,调整或更换。暂时不能处理而又允许暂缓处理的应跟踪运行,观察其发展情况,防止发生事故，若发现严重现象应立即报告招标人主管部门进行停梯修理。</w:t>
      </w:r>
    </w:p>
    <w:p>
      <w:pPr>
        <w:spacing w:line="360" w:lineRule="auto"/>
        <w:ind w:firstLine="420" w:firstLineChars="200"/>
        <w:rPr>
          <w:rFonts w:hint="eastAsia" w:ascii="宋体" w:hAnsi="宋体" w:eastAsia="宋体" w:cs="宋体"/>
          <w:b w:val="0"/>
          <w:bCs/>
          <w:szCs w:val="21"/>
          <w:highlight w:val="none"/>
          <w:lang w:eastAsia="zh-CN"/>
        </w:rPr>
      </w:pPr>
      <w:r>
        <w:rPr>
          <w:rFonts w:hint="eastAsia" w:ascii="宋体" w:hAnsi="宋体" w:cs="宋体"/>
          <w:b w:val="0"/>
          <w:bCs/>
          <w:szCs w:val="21"/>
          <w:highlight w:val="none"/>
          <w:lang w:val="en-US" w:eastAsia="zh-CN"/>
        </w:rPr>
        <w:t>7.</w:t>
      </w:r>
      <w:r>
        <w:rPr>
          <w:rFonts w:hint="eastAsia" w:ascii="宋体" w:hAnsi="宋体" w:eastAsia="宋体" w:cs="宋体"/>
          <w:b w:val="0"/>
          <w:bCs/>
          <w:szCs w:val="21"/>
          <w:highlight w:val="none"/>
          <w:lang w:eastAsia="zh-CN"/>
        </w:rPr>
        <w:t>电梯的季检查保养项目：蜗轮蜗杆减速箱及电动机轴承是否有油。制动器动作是否正常,制动瓦与制动盘之间的间隙是否正常。曳引绳是否渗油,是否打滑。限速器钢丝绳,选层器钢带是否正常。继电器、接触器、选层器工作是否正常,触头是否清洁,固定是否牢固。检查门的操作、调节及清洁门驱动装置部件。清洁轿门、厅门地坎和门导轨。检查全部门滚轮与开门刀之间的间隙。调整全部厅门及附件。清洁全部厅门锁开关触点。检查补偿链是否完好。检查轿厢及对重导靴磨损情况。检查安全钳与导轨间隙。检查曳引绳的张力。检查轿厢操纵盘和各按钮的工作情况。检查轿厢紧急照明工作情况。检查自动门的重新开启是否正常。检查轿厢照明、信号、指示、蜂鸣器等功能是否正常。检查电梯启动、运行、减速和制停。检查电梯平层准确度。检查厅外呼梯按钮和指示器工作情况。电梯消防功能的检查。包括但不限于以上季检内容及要求。如有不正常现象应立即停梯进行修理,调整或更换。暂时不能处理而又允许暂缓处理的应跟踪运行,观察其发展情况,防止发生事故，若发现严重现象应立即报告招标人主管部门进行停车修理。</w:t>
      </w:r>
    </w:p>
    <w:p>
      <w:pPr>
        <w:spacing w:line="360" w:lineRule="auto"/>
        <w:ind w:firstLine="420" w:firstLineChars="200"/>
        <w:rPr>
          <w:rFonts w:hint="eastAsia" w:ascii="宋体" w:hAnsi="宋体" w:eastAsia="宋体" w:cs="宋体"/>
          <w:b w:val="0"/>
          <w:bCs/>
          <w:szCs w:val="21"/>
          <w:highlight w:val="none"/>
          <w:lang w:eastAsia="zh-CN"/>
        </w:rPr>
      </w:pPr>
      <w:r>
        <w:rPr>
          <w:rFonts w:hint="eastAsia" w:ascii="宋体" w:hAnsi="宋体" w:cs="宋体"/>
          <w:b w:val="0"/>
          <w:bCs/>
          <w:szCs w:val="21"/>
          <w:highlight w:val="none"/>
          <w:lang w:val="en-US" w:eastAsia="zh-CN"/>
        </w:rPr>
        <w:t>8.</w:t>
      </w:r>
      <w:r>
        <w:rPr>
          <w:rFonts w:hint="eastAsia" w:ascii="宋体" w:hAnsi="宋体" w:eastAsia="宋体" w:cs="宋体"/>
          <w:b w:val="0"/>
          <w:bCs/>
          <w:szCs w:val="21"/>
          <w:highlight w:val="none"/>
          <w:lang w:eastAsia="zh-CN"/>
        </w:rPr>
        <w:t>每月由维保单位的专业人员对所保养的电梯进行2次常规检查和例行保养，并形成记录，确保电梯安全正常运行；维保单位应对合同范围内的电梯认真做好半月维保，每季度进行一次“安全检查”及“负荷调整试验”，确保设备得到必要的检查、测试、调整和校验。“年度安全检查”结合政府部门的“年检”同时进行，每年配合医院制作应急预案并进行电梯应急演练1次。每次例行维护保养和维修必须有招标人管理人员在场监督执行，维保单位须客观认真填写《电梯保养及维修报告书》交招标人管理人员签字确认。</w:t>
      </w:r>
    </w:p>
    <w:p>
      <w:pPr>
        <w:spacing w:line="360" w:lineRule="auto"/>
        <w:ind w:firstLine="420" w:firstLineChars="200"/>
        <w:rPr>
          <w:rFonts w:hint="eastAsia" w:ascii="宋体" w:hAnsi="宋体" w:eastAsia="宋体" w:cs="宋体"/>
          <w:b w:val="0"/>
          <w:bCs/>
          <w:szCs w:val="21"/>
          <w:highlight w:val="none"/>
          <w:lang w:eastAsia="zh-CN"/>
        </w:rPr>
      </w:pPr>
      <w:r>
        <w:rPr>
          <w:rFonts w:hint="eastAsia" w:ascii="宋体" w:hAnsi="宋体" w:cs="宋体"/>
          <w:b w:val="0"/>
          <w:bCs/>
          <w:szCs w:val="21"/>
          <w:highlight w:val="none"/>
          <w:lang w:val="en-US" w:eastAsia="zh-CN"/>
        </w:rPr>
        <w:t>9.</w:t>
      </w:r>
      <w:r>
        <w:rPr>
          <w:rFonts w:hint="eastAsia" w:ascii="宋体" w:hAnsi="宋体" w:eastAsia="宋体" w:cs="宋体"/>
          <w:b w:val="0"/>
          <w:bCs/>
          <w:szCs w:val="21"/>
          <w:highlight w:val="none"/>
          <w:lang w:eastAsia="zh-CN"/>
        </w:rPr>
        <w:t>中标人维保、维修及改造等相关工作中必须严格按照国家特种设备管理办法及地方标准执行。</w:t>
      </w:r>
    </w:p>
    <w:p>
      <w:pPr>
        <w:spacing w:line="360" w:lineRule="auto"/>
        <w:ind w:firstLine="420" w:firstLineChars="200"/>
        <w:rPr>
          <w:rFonts w:hint="eastAsia" w:ascii="宋体" w:hAnsi="宋体" w:eastAsia="宋体" w:cs="宋体"/>
          <w:b w:val="0"/>
          <w:bCs/>
          <w:szCs w:val="21"/>
          <w:highlight w:val="none"/>
          <w:lang w:eastAsia="zh-CN"/>
        </w:rPr>
      </w:pPr>
      <w:r>
        <w:rPr>
          <w:rFonts w:hint="eastAsia" w:ascii="宋体" w:hAnsi="宋体" w:cs="宋体"/>
          <w:b w:val="0"/>
          <w:bCs/>
          <w:szCs w:val="21"/>
          <w:highlight w:val="none"/>
          <w:lang w:val="en-US" w:eastAsia="zh-CN"/>
        </w:rPr>
        <w:t>10.</w:t>
      </w:r>
      <w:r>
        <w:rPr>
          <w:rFonts w:hint="eastAsia" w:ascii="宋体" w:hAnsi="宋体" w:eastAsia="宋体" w:cs="宋体"/>
          <w:b w:val="0"/>
          <w:bCs/>
          <w:szCs w:val="21"/>
          <w:highlight w:val="none"/>
          <w:lang w:eastAsia="zh-CN"/>
        </w:rPr>
        <w:t>中标人在日常维护工作中必须严格按照国家电梯使用管理与维护保养规则及地方标准执行，作业过程中应服从招标人现场安全管理，严格落实现场安全防护措施，保证作业安全。</w:t>
      </w:r>
    </w:p>
    <w:p>
      <w:pPr>
        <w:spacing w:line="360" w:lineRule="auto"/>
        <w:ind w:firstLine="420" w:firstLineChars="200"/>
        <w:rPr>
          <w:rFonts w:hint="eastAsia" w:ascii="宋体" w:hAnsi="宋体" w:eastAsia="宋体" w:cs="宋体"/>
          <w:b w:val="0"/>
          <w:bCs/>
          <w:szCs w:val="21"/>
          <w:highlight w:val="none"/>
          <w:lang w:eastAsia="zh-CN"/>
        </w:rPr>
      </w:pPr>
      <w:r>
        <w:rPr>
          <w:rFonts w:hint="eastAsia" w:ascii="宋体" w:hAnsi="宋体" w:cs="宋体"/>
          <w:b w:val="0"/>
          <w:bCs/>
          <w:szCs w:val="21"/>
          <w:highlight w:val="none"/>
          <w:lang w:val="en-US" w:eastAsia="zh-CN"/>
        </w:rPr>
        <w:t>11.</w:t>
      </w:r>
      <w:r>
        <w:rPr>
          <w:rFonts w:hint="eastAsia" w:ascii="宋体" w:hAnsi="宋体" w:eastAsia="宋体" w:cs="宋体"/>
          <w:b w:val="0"/>
          <w:bCs/>
          <w:szCs w:val="21"/>
          <w:highlight w:val="none"/>
          <w:lang w:eastAsia="zh-CN"/>
        </w:rPr>
        <w:t>中标人实施日常维护保养后的电梯应当符合《电梯维修规范》、《电梯制造与安装安全规范》和《中华人民共和国特种设备安全法》的相关规定。</w:t>
      </w:r>
    </w:p>
    <w:p>
      <w:pPr>
        <w:spacing w:line="360" w:lineRule="auto"/>
        <w:ind w:firstLine="420" w:firstLineChars="200"/>
        <w:rPr>
          <w:rFonts w:hint="eastAsia" w:ascii="宋体" w:hAnsi="宋体" w:eastAsia="宋体" w:cs="宋体"/>
          <w:b w:val="0"/>
          <w:bCs/>
          <w:szCs w:val="21"/>
          <w:highlight w:val="none"/>
          <w:lang w:eastAsia="zh-CN"/>
        </w:rPr>
      </w:pPr>
      <w:r>
        <w:rPr>
          <w:rFonts w:hint="eastAsia" w:ascii="宋体" w:hAnsi="宋体" w:cs="宋体"/>
          <w:b w:val="0"/>
          <w:bCs/>
          <w:szCs w:val="21"/>
          <w:highlight w:val="none"/>
          <w:lang w:val="en-US" w:eastAsia="zh-CN"/>
        </w:rPr>
        <w:t>12.</w:t>
      </w:r>
      <w:r>
        <w:rPr>
          <w:rFonts w:hint="eastAsia" w:ascii="宋体" w:hAnsi="宋体" w:eastAsia="宋体" w:cs="宋体"/>
          <w:b w:val="0"/>
          <w:bCs/>
          <w:szCs w:val="21"/>
          <w:highlight w:val="none"/>
          <w:lang w:eastAsia="zh-CN"/>
        </w:rPr>
        <w:t>中标人对其维保电梯的安全性能负责。对承担维保的电梯是否符合国家安全技术规范要求进行确认，维保后的电梯应当符合相应的安全技术规范，并且保证所维保的电梯均处于安全正常运行状态。</w:t>
      </w:r>
    </w:p>
    <w:p>
      <w:pPr>
        <w:spacing w:line="360" w:lineRule="auto"/>
        <w:ind w:firstLine="422" w:firstLineChars="200"/>
        <w:rPr>
          <w:rFonts w:hint="eastAsia" w:ascii="宋体" w:hAnsi="宋体" w:eastAsia="宋体" w:cs="宋体"/>
          <w:b w:val="0"/>
          <w:bCs/>
          <w:szCs w:val="21"/>
          <w:highlight w:val="none"/>
          <w:lang w:eastAsia="zh-CN"/>
        </w:rPr>
      </w:pPr>
      <w:r>
        <w:rPr>
          <w:rFonts w:hint="eastAsia" w:ascii="宋体" w:hAnsi="宋体" w:cs="宋体"/>
          <w:b/>
          <w:bCs w:val="0"/>
          <w:szCs w:val="21"/>
          <w:highlight w:val="none"/>
          <w:lang w:val="en-US" w:eastAsia="zh-CN"/>
        </w:rPr>
        <w:t>13.投标文件中</w:t>
      </w:r>
      <w:r>
        <w:rPr>
          <w:rFonts w:hint="eastAsia" w:ascii="宋体" w:hAnsi="宋体" w:eastAsia="宋体" w:cs="宋体"/>
          <w:b/>
          <w:bCs w:val="0"/>
          <w:szCs w:val="21"/>
          <w:highlight w:val="none"/>
          <w:lang w:eastAsia="zh-CN"/>
        </w:rPr>
        <w:t>须提供2人维护保养人员有效的《特种设备作业人员证》复印件并加盖投标人公章。</w:t>
      </w:r>
    </w:p>
    <w:p>
      <w:pPr>
        <w:spacing w:line="360" w:lineRule="auto"/>
        <w:ind w:firstLine="420" w:firstLineChars="200"/>
        <w:rPr>
          <w:rFonts w:hint="eastAsia" w:ascii="宋体" w:hAnsi="宋体" w:eastAsia="宋体" w:cs="宋体"/>
          <w:b w:val="0"/>
          <w:bCs/>
          <w:szCs w:val="21"/>
          <w:highlight w:val="none"/>
          <w:lang w:eastAsia="zh-CN"/>
        </w:rPr>
      </w:pPr>
      <w:r>
        <w:rPr>
          <w:rFonts w:hint="eastAsia" w:ascii="宋体" w:hAnsi="宋体" w:cs="宋体"/>
          <w:b w:val="0"/>
          <w:bCs/>
          <w:szCs w:val="21"/>
          <w:highlight w:val="none"/>
          <w:lang w:val="en-US" w:eastAsia="zh-CN"/>
        </w:rPr>
        <w:t>14.</w:t>
      </w:r>
      <w:r>
        <w:rPr>
          <w:rFonts w:hint="eastAsia" w:ascii="宋体" w:hAnsi="宋体" w:eastAsia="宋体" w:cs="宋体"/>
          <w:b w:val="0"/>
          <w:bCs/>
          <w:szCs w:val="21"/>
          <w:highlight w:val="none"/>
          <w:lang w:eastAsia="zh-CN"/>
        </w:rPr>
        <w:t>中标人需提供24小时的应急响应服务，且能在接到招标人故障或事故报警后20分钟内到达现场，并能提供正常连续的服务直至故障或事故排除。对电梯困人事故要求在到达现场后20分钟内把乘客从轿厢中救出。对非电子板原因的常见事故要求在2小时内排除，对电子板原因的故障应在普遍认可的合理时间内解决。</w:t>
      </w:r>
    </w:p>
    <w:p>
      <w:pPr>
        <w:spacing w:line="360" w:lineRule="auto"/>
        <w:ind w:firstLine="420" w:firstLineChars="200"/>
        <w:rPr>
          <w:rFonts w:hint="eastAsia" w:ascii="宋体" w:hAnsi="宋体" w:eastAsia="宋体" w:cs="宋体"/>
          <w:b w:val="0"/>
          <w:bCs/>
          <w:szCs w:val="21"/>
          <w:highlight w:val="none"/>
          <w:lang w:eastAsia="zh-CN"/>
        </w:rPr>
      </w:pPr>
      <w:r>
        <w:rPr>
          <w:rFonts w:hint="eastAsia" w:ascii="宋体" w:hAnsi="宋体" w:cs="宋体"/>
          <w:b w:val="0"/>
          <w:bCs/>
          <w:szCs w:val="21"/>
          <w:highlight w:val="none"/>
          <w:lang w:val="en-US" w:eastAsia="zh-CN"/>
        </w:rPr>
        <w:t>15.</w:t>
      </w:r>
      <w:r>
        <w:rPr>
          <w:rFonts w:hint="eastAsia" w:ascii="宋体" w:hAnsi="宋体" w:eastAsia="宋体" w:cs="宋体"/>
          <w:b w:val="0"/>
          <w:bCs/>
          <w:szCs w:val="21"/>
          <w:highlight w:val="none"/>
          <w:lang w:eastAsia="zh-CN"/>
        </w:rPr>
        <w:t>招标人维护维修过程中，现场需采取停梯措施时，应及时通知招标人确认后实施。</w:t>
      </w:r>
    </w:p>
    <w:p>
      <w:pPr>
        <w:spacing w:line="360" w:lineRule="auto"/>
        <w:ind w:firstLine="420" w:firstLineChars="200"/>
        <w:rPr>
          <w:rFonts w:hint="eastAsia" w:ascii="宋体" w:hAnsi="宋体" w:eastAsia="宋体" w:cs="宋体"/>
          <w:b w:val="0"/>
          <w:bCs/>
          <w:szCs w:val="21"/>
          <w:highlight w:val="none"/>
          <w:lang w:eastAsia="zh-CN"/>
        </w:rPr>
      </w:pPr>
      <w:r>
        <w:rPr>
          <w:rFonts w:hint="eastAsia" w:ascii="宋体" w:hAnsi="宋体" w:cs="宋体"/>
          <w:b w:val="0"/>
          <w:bCs/>
          <w:szCs w:val="21"/>
          <w:highlight w:val="none"/>
          <w:lang w:val="en-US" w:eastAsia="zh-CN"/>
        </w:rPr>
        <w:t>16.</w:t>
      </w:r>
      <w:r>
        <w:rPr>
          <w:rFonts w:hint="eastAsia" w:ascii="宋体" w:hAnsi="宋体" w:eastAsia="宋体" w:cs="宋体"/>
          <w:b w:val="0"/>
          <w:bCs/>
          <w:szCs w:val="21"/>
          <w:highlight w:val="none"/>
          <w:lang w:eastAsia="zh-CN"/>
        </w:rPr>
        <w:t>中标人按规范整理电梯维保一梯一档资料，配合招标人接受上级主管部门随时抽查和定期检测工作。</w:t>
      </w:r>
    </w:p>
    <w:p>
      <w:pPr>
        <w:spacing w:line="360" w:lineRule="auto"/>
        <w:ind w:firstLine="420" w:firstLineChars="200"/>
        <w:rPr>
          <w:rFonts w:hint="eastAsia" w:ascii="宋体" w:hAnsi="宋体" w:eastAsia="宋体" w:cs="宋体"/>
          <w:b w:val="0"/>
          <w:bCs/>
          <w:szCs w:val="21"/>
          <w:highlight w:val="none"/>
          <w:lang w:eastAsia="zh-CN"/>
        </w:rPr>
      </w:pPr>
      <w:r>
        <w:rPr>
          <w:rFonts w:hint="eastAsia" w:ascii="宋体" w:hAnsi="宋体" w:cs="宋体"/>
          <w:b w:val="0"/>
          <w:bCs/>
          <w:szCs w:val="21"/>
          <w:highlight w:val="none"/>
          <w:lang w:val="en-US" w:eastAsia="zh-CN"/>
        </w:rPr>
        <w:t>17.</w:t>
      </w:r>
      <w:r>
        <w:rPr>
          <w:rFonts w:hint="eastAsia" w:ascii="宋体" w:hAnsi="宋体" w:eastAsia="宋体" w:cs="宋体"/>
          <w:b w:val="0"/>
          <w:bCs/>
          <w:szCs w:val="21"/>
          <w:highlight w:val="none"/>
          <w:lang w:eastAsia="zh-CN"/>
        </w:rPr>
        <w:t>维保人员必须持证上岗着工作服，自行配备工作所需的工具及设备，严格按照电梯规范的技术操作规程进行，保养维修时需设置现场安全警示标志，严禁短接线路进行维修及保养，电梯保养单位需随时听取招标人的反馈信息，对电梯不正常的运行状况做出认真分析及纠正，有事实证明或政府职能部门证明由于维护保养工作人员过失而造成的直接的可预见的延误、人身伤亡或经济损失，由维护保养单位承担全部责任。</w:t>
      </w:r>
    </w:p>
    <w:p>
      <w:pPr>
        <w:spacing w:line="360" w:lineRule="auto"/>
        <w:ind w:firstLine="420" w:firstLineChars="200"/>
        <w:rPr>
          <w:rFonts w:hint="eastAsia" w:ascii="宋体" w:hAnsi="宋体" w:eastAsia="宋体" w:cs="宋体"/>
          <w:b w:val="0"/>
          <w:bCs/>
          <w:szCs w:val="21"/>
          <w:highlight w:val="none"/>
          <w:lang w:eastAsia="zh-CN"/>
        </w:rPr>
      </w:pPr>
      <w:r>
        <w:rPr>
          <w:rFonts w:hint="eastAsia" w:ascii="宋体" w:hAnsi="宋体" w:cs="宋体"/>
          <w:b w:val="0"/>
          <w:bCs/>
          <w:szCs w:val="21"/>
          <w:highlight w:val="none"/>
          <w:lang w:val="en-US" w:eastAsia="zh-CN"/>
        </w:rPr>
        <w:t>18.</w:t>
      </w:r>
      <w:r>
        <w:rPr>
          <w:rFonts w:hint="eastAsia" w:ascii="宋体" w:hAnsi="宋体" w:eastAsia="宋体" w:cs="宋体"/>
          <w:b w:val="0"/>
          <w:bCs/>
          <w:szCs w:val="21"/>
          <w:highlight w:val="none"/>
          <w:lang w:eastAsia="zh-CN"/>
        </w:rPr>
        <w:t>中标人须保证所有电梯通过质量监督、特种设备等相关监管部门规定的定检、校验，并负责代办电梯的年度检验，所有年检及检验费用由中标人支付。中标人应按电梯监督检验和定期检验规则等规范要求按时间、频次、数量等落实电梯定期年检、限速器校验、125%制动试验等，并出具专业有效的检验合格报告给招标人存档备查。</w:t>
      </w:r>
    </w:p>
    <w:p>
      <w:pPr>
        <w:spacing w:line="360" w:lineRule="auto"/>
        <w:ind w:firstLine="420" w:firstLineChars="200"/>
        <w:rPr>
          <w:rFonts w:hint="eastAsia" w:ascii="宋体" w:hAnsi="宋体" w:eastAsia="宋体" w:cs="宋体"/>
          <w:b w:val="0"/>
          <w:bCs/>
          <w:szCs w:val="21"/>
          <w:highlight w:val="none"/>
          <w:lang w:eastAsia="zh-CN"/>
        </w:rPr>
      </w:pPr>
      <w:r>
        <w:rPr>
          <w:rFonts w:hint="eastAsia" w:ascii="宋体" w:hAnsi="宋体" w:cs="宋体"/>
          <w:b w:val="0"/>
          <w:bCs/>
          <w:szCs w:val="21"/>
          <w:highlight w:val="none"/>
          <w:lang w:val="en-US" w:eastAsia="zh-CN"/>
        </w:rPr>
        <w:t>19.</w:t>
      </w:r>
      <w:r>
        <w:rPr>
          <w:rFonts w:hint="eastAsia" w:ascii="宋体" w:hAnsi="宋体" w:eastAsia="宋体" w:cs="宋体"/>
          <w:b w:val="0"/>
          <w:bCs/>
          <w:szCs w:val="21"/>
          <w:highlight w:val="none"/>
          <w:lang w:eastAsia="zh-CN"/>
        </w:rPr>
        <w:t>维修更换配件的要求：</w:t>
      </w:r>
    </w:p>
    <w:p>
      <w:pPr>
        <w:spacing w:line="360" w:lineRule="auto"/>
        <w:ind w:firstLine="420" w:firstLineChars="200"/>
        <w:rPr>
          <w:rFonts w:hint="eastAsia" w:ascii="宋体" w:hAnsi="宋体" w:eastAsia="宋体" w:cs="宋体"/>
          <w:b w:val="0"/>
          <w:bCs/>
          <w:szCs w:val="21"/>
          <w:highlight w:val="none"/>
          <w:lang w:eastAsia="zh-CN"/>
        </w:rPr>
      </w:pPr>
      <w:r>
        <w:rPr>
          <w:rFonts w:hint="eastAsia" w:ascii="宋体" w:hAnsi="宋体" w:eastAsia="宋体" w:cs="宋体"/>
          <w:b w:val="0"/>
          <w:bCs/>
          <w:szCs w:val="21"/>
          <w:highlight w:val="none"/>
          <w:lang w:eastAsia="zh-CN"/>
        </w:rPr>
        <w:t>①中标人必须配齐常用配件，以备及时更换。因配件原因停梯时间不允许超2日历天，超一天向招标人支付违约金1000元，依次累加（因维保需要进行重大维修处理时可双方另行协商恢复时间）。如因配件更换导致停梯时间超过4日历天或已影响到招标人现场工作秩序，招标人有权请第三方单位予以维修更换，因此产生的所有费用从维保费内予以扣除。</w:t>
      </w:r>
    </w:p>
    <w:p>
      <w:pPr>
        <w:spacing w:line="360" w:lineRule="auto"/>
        <w:ind w:firstLine="420" w:firstLineChars="200"/>
        <w:rPr>
          <w:rFonts w:hint="eastAsia" w:ascii="宋体" w:hAnsi="宋体" w:eastAsia="宋体" w:cs="宋体"/>
          <w:b w:val="0"/>
          <w:bCs/>
          <w:szCs w:val="21"/>
          <w:highlight w:val="none"/>
          <w:lang w:eastAsia="zh-CN"/>
        </w:rPr>
      </w:pPr>
      <w:r>
        <w:rPr>
          <w:rFonts w:hint="eastAsia" w:ascii="宋体" w:hAnsi="宋体" w:eastAsia="宋体" w:cs="宋体"/>
          <w:b w:val="0"/>
          <w:bCs/>
          <w:szCs w:val="21"/>
          <w:highlight w:val="none"/>
          <w:lang w:eastAsia="zh-CN"/>
        </w:rPr>
        <w:t>②中标人提供的电梯更换配件必须是原厂生产的、全新的、未使用过的合格产品，达到电梯设备要求的性能规格，所有更换配件需提供检验合格证书或其他必须的证明文件交予招标人验收。</w:t>
      </w:r>
    </w:p>
    <w:p>
      <w:pPr>
        <w:spacing w:line="360" w:lineRule="auto"/>
        <w:ind w:firstLine="420" w:firstLineChars="200"/>
        <w:rPr>
          <w:rFonts w:hint="eastAsia" w:ascii="宋体" w:hAnsi="宋体" w:eastAsia="宋体" w:cs="宋体"/>
          <w:b w:val="0"/>
          <w:bCs/>
          <w:szCs w:val="21"/>
          <w:highlight w:val="none"/>
          <w:lang w:eastAsia="zh-CN"/>
        </w:rPr>
      </w:pPr>
      <w:r>
        <w:rPr>
          <w:rFonts w:hint="eastAsia" w:ascii="宋体" w:hAnsi="宋体" w:eastAsia="宋体" w:cs="宋体"/>
          <w:b w:val="0"/>
          <w:bCs/>
          <w:szCs w:val="21"/>
          <w:highlight w:val="none"/>
          <w:lang w:eastAsia="zh-CN"/>
        </w:rPr>
        <w:t>③由于配件货源供货渠道问题造成的损失，由中标人自行承担。</w:t>
      </w:r>
    </w:p>
    <w:p>
      <w:pPr>
        <w:spacing w:line="360" w:lineRule="auto"/>
        <w:ind w:firstLine="420" w:firstLineChars="200"/>
        <w:rPr>
          <w:rFonts w:hint="eastAsia" w:ascii="宋体" w:hAnsi="宋体" w:eastAsia="宋体" w:cs="宋体"/>
          <w:b w:val="0"/>
          <w:bCs/>
          <w:szCs w:val="21"/>
          <w:highlight w:val="none"/>
          <w:lang w:eastAsia="zh-CN"/>
        </w:rPr>
      </w:pPr>
      <w:r>
        <w:rPr>
          <w:rFonts w:hint="eastAsia" w:ascii="宋体" w:hAnsi="宋体" w:eastAsia="宋体" w:cs="宋体"/>
          <w:b w:val="0"/>
          <w:bCs/>
          <w:szCs w:val="21"/>
          <w:highlight w:val="none"/>
          <w:lang w:eastAsia="zh-CN"/>
        </w:rPr>
        <w:t>④对更换下来的配件应由招标人保管或由招标人与中标人共同销毁。</w:t>
      </w:r>
    </w:p>
    <w:p>
      <w:pPr>
        <w:spacing w:line="360" w:lineRule="auto"/>
        <w:ind w:firstLine="420" w:firstLineChars="200"/>
        <w:rPr>
          <w:rFonts w:hint="eastAsia" w:ascii="宋体" w:hAnsi="宋体" w:eastAsia="宋体" w:cs="宋体"/>
          <w:b w:val="0"/>
          <w:bCs/>
          <w:szCs w:val="21"/>
          <w:highlight w:val="none"/>
          <w:lang w:eastAsia="zh-CN"/>
        </w:rPr>
      </w:pPr>
      <w:r>
        <w:rPr>
          <w:rFonts w:hint="eastAsia" w:ascii="宋体" w:hAnsi="宋体" w:cs="宋体"/>
          <w:b w:val="0"/>
          <w:bCs/>
          <w:szCs w:val="21"/>
          <w:highlight w:val="none"/>
          <w:lang w:val="en-US" w:eastAsia="zh-CN"/>
        </w:rPr>
        <w:t>20.</w:t>
      </w:r>
      <w:r>
        <w:rPr>
          <w:rFonts w:hint="eastAsia" w:ascii="宋体" w:hAnsi="宋体" w:eastAsia="宋体" w:cs="宋体"/>
          <w:b w:val="0"/>
          <w:bCs/>
          <w:szCs w:val="21"/>
          <w:highlight w:val="none"/>
          <w:lang w:eastAsia="zh-CN"/>
        </w:rPr>
        <w:t>对维保服务的监督与整改：</w:t>
      </w:r>
    </w:p>
    <w:p>
      <w:pPr>
        <w:spacing w:line="360" w:lineRule="auto"/>
        <w:ind w:firstLine="420" w:firstLineChars="200"/>
        <w:rPr>
          <w:rFonts w:hint="eastAsia" w:ascii="宋体" w:hAnsi="宋体" w:eastAsia="宋体" w:cs="宋体"/>
          <w:b w:val="0"/>
          <w:bCs/>
          <w:szCs w:val="21"/>
          <w:highlight w:val="none"/>
          <w:lang w:eastAsia="zh-CN"/>
        </w:rPr>
      </w:pPr>
      <w:r>
        <w:rPr>
          <w:rFonts w:hint="eastAsia" w:ascii="宋体" w:hAnsi="宋体" w:eastAsia="宋体" w:cs="宋体"/>
          <w:b w:val="0"/>
          <w:bCs/>
          <w:szCs w:val="21"/>
          <w:highlight w:val="none"/>
          <w:lang w:eastAsia="zh-CN"/>
        </w:rPr>
        <w:t>①中标人在维保服务期间因维保不当等原因导致的安全责任均由中标人负责，包括由于电梯故障及损坏造成乘梯人员伤亡或财产损失等，由中标人承担所有的法律责任及由此产生的所有费用。</w:t>
      </w:r>
    </w:p>
    <w:p>
      <w:pPr>
        <w:spacing w:line="360" w:lineRule="auto"/>
        <w:ind w:firstLine="420" w:firstLineChars="200"/>
        <w:rPr>
          <w:rFonts w:hint="eastAsia" w:ascii="宋体" w:hAnsi="宋体" w:eastAsia="宋体" w:cs="宋体"/>
          <w:b w:val="0"/>
          <w:bCs/>
          <w:szCs w:val="21"/>
          <w:highlight w:val="none"/>
          <w:lang w:eastAsia="zh-CN"/>
        </w:rPr>
      </w:pPr>
      <w:r>
        <w:rPr>
          <w:rFonts w:hint="eastAsia" w:ascii="宋体" w:hAnsi="宋体" w:eastAsia="宋体" w:cs="宋体"/>
          <w:b w:val="0"/>
          <w:bCs/>
          <w:szCs w:val="21"/>
          <w:highlight w:val="none"/>
          <w:lang w:eastAsia="zh-CN"/>
        </w:rPr>
        <w:t>②中标人应随时听取招标人的反馈，对不正常情况做到认真分析纠正，年检前1个月进行自检，配合特种设备安全监督管理部门对电梯年检，因维护保养原因导致电梯年检不合格的，由中标人进行整改完成并承担复检费用。</w:t>
      </w:r>
    </w:p>
    <w:p>
      <w:pPr>
        <w:spacing w:line="360" w:lineRule="auto"/>
        <w:ind w:firstLine="420" w:firstLineChars="200"/>
        <w:rPr>
          <w:rFonts w:hint="eastAsia" w:ascii="宋体" w:hAnsi="宋体" w:eastAsia="宋体" w:cs="宋体"/>
          <w:b w:val="0"/>
          <w:bCs/>
          <w:szCs w:val="21"/>
          <w:highlight w:val="none"/>
          <w:lang w:eastAsia="zh-CN"/>
        </w:rPr>
      </w:pPr>
      <w:r>
        <w:rPr>
          <w:rFonts w:hint="eastAsia" w:ascii="宋体" w:hAnsi="宋体" w:eastAsia="宋体" w:cs="宋体"/>
          <w:b w:val="0"/>
          <w:bCs/>
          <w:szCs w:val="21"/>
          <w:highlight w:val="none"/>
          <w:lang w:eastAsia="zh-CN"/>
        </w:rPr>
        <w:t>③如因中标人维修不及时或因技术问题导致电梯连续出现故障或在维保期间出现重大安全事故，招标人有权请第三方介入维修并单方面</w:t>
      </w:r>
      <w:r>
        <w:rPr>
          <w:rFonts w:hint="eastAsia" w:ascii="宋体" w:hAnsi="宋体" w:cs="宋体"/>
          <w:b w:val="0"/>
          <w:bCs/>
          <w:szCs w:val="21"/>
          <w:highlight w:val="none"/>
          <w:lang w:val="en-US" w:eastAsia="zh-CN"/>
        </w:rPr>
        <w:t>终</w:t>
      </w:r>
      <w:r>
        <w:rPr>
          <w:rFonts w:hint="eastAsia" w:ascii="宋体" w:hAnsi="宋体" w:eastAsia="宋体" w:cs="宋体"/>
          <w:b w:val="0"/>
          <w:bCs/>
          <w:szCs w:val="21"/>
          <w:highlight w:val="none"/>
          <w:lang w:eastAsia="zh-CN"/>
        </w:rPr>
        <w:t>止合同，扣除保证金及剩余维保款，中标人应承担由此造成的所有责任，包括经济及法律责任。</w:t>
      </w:r>
    </w:p>
    <w:p>
      <w:pPr>
        <w:spacing w:line="360" w:lineRule="auto"/>
        <w:ind w:firstLine="420" w:firstLineChars="200"/>
        <w:rPr>
          <w:rFonts w:hint="eastAsia" w:ascii="宋体" w:hAnsi="宋体" w:eastAsia="宋体" w:cs="宋体"/>
          <w:b w:val="0"/>
          <w:bCs/>
          <w:szCs w:val="21"/>
          <w:highlight w:val="none"/>
          <w:lang w:eastAsia="zh-CN"/>
        </w:rPr>
      </w:pPr>
      <w:r>
        <w:rPr>
          <w:rFonts w:hint="eastAsia" w:ascii="宋体" w:hAnsi="宋体" w:eastAsia="宋体" w:cs="宋体"/>
          <w:b w:val="0"/>
          <w:bCs/>
          <w:szCs w:val="21"/>
          <w:highlight w:val="none"/>
          <w:lang w:eastAsia="zh-CN"/>
        </w:rPr>
        <w:t>④中标人负责与前期和后期中标人的交接工作，与后期中标人维保交接时必须保证所有电梯运行正常，并交接清楚，否则扣除履约保证金。</w:t>
      </w:r>
    </w:p>
    <w:p>
      <w:pPr>
        <w:spacing w:line="360" w:lineRule="auto"/>
        <w:ind w:firstLine="420" w:firstLineChars="200"/>
        <w:rPr>
          <w:rFonts w:hint="eastAsia" w:ascii="宋体" w:hAnsi="宋体" w:eastAsia="宋体" w:cs="宋体"/>
          <w:b w:val="0"/>
          <w:bCs/>
          <w:szCs w:val="21"/>
          <w:highlight w:val="none"/>
          <w:lang w:eastAsia="zh-CN"/>
        </w:rPr>
      </w:pPr>
      <w:r>
        <w:rPr>
          <w:rFonts w:hint="eastAsia" w:ascii="宋体" w:hAnsi="宋体" w:eastAsia="宋体" w:cs="宋体"/>
          <w:b w:val="0"/>
          <w:bCs/>
          <w:szCs w:val="21"/>
          <w:highlight w:val="none"/>
          <w:lang w:eastAsia="zh-CN"/>
        </w:rPr>
        <w:t>⑤招标人维保过程中发现任何问题，招标人有权在包括但不限于本招标文件中规定的相关情况或维保服务缺陷予以监管扣款，视情况每次予以500元及以上</w:t>
      </w:r>
      <w:r>
        <w:rPr>
          <w:rFonts w:hint="eastAsia" w:ascii="宋体" w:hAnsi="宋体" w:cs="宋体"/>
          <w:b w:val="0"/>
          <w:bCs/>
          <w:szCs w:val="21"/>
          <w:highlight w:val="none"/>
          <w:lang w:val="en-US" w:eastAsia="zh-CN"/>
        </w:rPr>
        <w:t>扣款</w:t>
      </w:r>
      <w:r>
        <w:rPr>
          <w:rFonts w:hint="eastAsia" w:ascii="宋体" w:hAnsi="宋体" w:eastAsia="宋体" w:cs="宋体"/>
          <w:b w:val="0"/>
          <w:bCs/>
          <w:szCs w:val="21"/>
          <w:highlight w:val="none"/>
          <w:lang w:eastAsia="zh-CN"/>
        </w:rPr>
        <w:t xml:space="preserve">。 </w:t>
      </w:r>
    </w:p>
    <w:p>
      <w:pPr>
        <w:spacing w:line="360" w:lineRule="auto"/>
        <w:ind w:firstLine="420" w:firstLineChars="200"/>
        <w:rPr>
          <w:rFonts w:hint="eastAsia" w:ascii="宋体" w:hAnsi="宋体" w:eastAsia="宋体" w:cs="宋体"/>
          <w:b w:val="0"/>
          <w:bCs/>
          <w:szCs w:val="21"/>
          <w:highlight w:val="none"/>
          <w:lang w:eastAsia="zh-CN"/>
        </w:rPr>
      </w:pPr>
      <w:r>
        <w:rPr>
          <w:rFonts w:hint="eastAsia" w:ascii="宋体" w:hAnsi="宋体" w:eastAsia="宋体" w:cs="宋体"/>
          <w:b w:val="0"/>
          <w:bCs/>
          <w:szCs w:val="21"/>
          <w:highlight w:val="none"/>
          <w:lang w:eastAsia="zh-CN"/>
        </w:rPr>
        <w:t>⑥招标人现场督查或行业主管部门检查过程中，出现相关不合格以及需整改的问题，招标人有权扣除1%及以上的年度服务费用，并视情节轻重追究相关责任。任一年度出现三次以上的，招标人有权按上述内容扣除相关服务费用后，并有权提前与中标人解除合同。因中标人原因导致招标人被行业主管部门通报甚至处罚或出现其他具有恶劣影响情形以及安全事故的，招标人有权在追究中标人责任后与中标人提前解除合同。</w:t>
      </w:r>
    </w:p>
    <w:p>
      <w:pPr>
        <w:spacing w:line="360" w:lineRule="auto"/>
        <w:ind w:firstLine="422" w:firstLineChars="200"/>
        <w:rPr>
          <w:rFonts w:hint="eastAsia" w:ascii="宋体" w:hAnsi="宋体" w:eastAsia="宋体" w:cs="宋体"/>
          <w:b/>
          <w:bCs w:val="0"/>
          <w:szCs w:val="21"/>
          <w:highlight w:val="none"/>
          <w:lang w:eastAsia="zh-CN"/>
        </w:rPr>
      </w:pPr>
      <w:r>
        <w:rPr>
          <w:rFonts w:hint="eastAsia" w:ascii="宋体" w:hAnsi="宋体" w:cs="宋体"/>
          <w:b/>
          <w:bCs w:val="0"/>
          <w:szCs w:val="21"/>
          <w:highlight w:val="none"/>
          <w:lang w:val="en-US" w:eastAsia="zh-CN"/>
        </w:rPr>
        <w:t>21.</w:t>
      </w:r>
      <w:r>
        <w:rPr>
          <w:rFonts w:hint="eastAsia" w:ascii="宋体" w:hAnsi="宋体" w:eastAsia="宋体" w:cs="宋体"/>
          <w:b/>
          <w:bCs w:val="0"/>
          <w:szCs w:val="21"/>
          <w:highlight w:val="none"/>
          <w:lang w:eastAsia="zh-CN"/>
        </w:rPr>
        <w:t>电梯维保单位需购买电梯商业责任险。</w:t>
      </w:r>
    </w:p>
    <w:p>
      <w:pPr>
        <w:spacing w:line="360" w:lineRule="auto"/>
        <w:ind w:firstLine="422" w:firstLineChars="200"/>
        <w:rPr>
          <w:rFonts w:hint="eastAsia" w:ascii="宋体" w:hAnsi="宋体" w:eastAsia="宋体" w:cs="宋体"/>
          <w:b/>
          <w:bCs w:val="0"/>
          <w:szCs w:val="21"/>
          <w:highlight w:val="none"/>
          <w:lang w:eastAsia="zh-CN"/>
        </w:rPr>
      </w:pPr>
      <w:r>
        <w:rPr>
          <w:rFonts w:hint="eastAsia" w:ascii="宋体" w:hAnsi="宋体" w:cs="宋体"/>
          <w:b/>
          <w:bCs w:val="0"/>
          <w:szCs w:val="21"/>
          <w:highlight w:val="none"/>
          <w:lang w:eastAsia="zh-CN"/>
        </w:rPr>
        <w:t>四、</w:t>
      </w:r>
      <w:r>
        <w:rPr>
          <w:rFonts w:hint="eastAsia" w:ascii="宋体" w:hAnsi="宋体" w:eastAsia="宋体" w:cs="宋体"/>
          <w:b/>
          <w:bCs w:val="0"/>
          <w:szCs w:val="21"/>
          <w:highlight w:val="none"/>
          <w:lang w:eastAsia="zh-CN"/>
        </w:rPr>
        <w:t>报价要求</w:t>
      </w:r>
    </w:p>
    <w:p>
      <w:pPr>
        <w:spacing w:line="360" w:lineRule="auto"/>
        <w:ind w:firstLine="420" w:firstLineChars="200"/>
        <w:rPr>
          <w:rFonts w:hint="eastAsia" w:ascii="宋体" w:hAnsi="宋体" w:eastAsia="宋体" w:cs="宋体"/>
          <w:b w:val="0"/>
          <w:bCs/>
          <w:szCs w:val="21"/>
          <w:highlight w:val="none"/>
          <w:lang w:eastAsia="zh-CN"/>
        </w:rPr>
      </w:pPr>
      <w:r>
        <w:rPr>
          <w:rFonts w:hint="eastAsia" w:ascii="宋体" w:hAnsi="宋体" w:eastAsia="宋体" w:cs="宋体"/>
          <w:b w:val="0"/>
          <w:bCs/>
          <w:szCs w:val="21"/>
          <w:highlight w:val="none"/>
          <w:lang w:eastAsia="zh-CN"/>
        </w:rPr>
        <w:t>该项目报价为全包维保总报价，</w:t>
      </w:r>
      <w:r>
        <w:rPr>
          <w:rFonts w:hint="eastAsia" w:ascii="宋体" w:hAnsi="宋体" w:cs="宋体"/>
          <w:b w:val="0"/>
          <w:bCs/>
          <w:szCs w:val="21"/>
          <w:highlight w:val="none"/>
          <w:lang w:eastAsia="zh-CN"/>
        </w:rPr>
        <w:t>包含所有</w:t>
      </w:r>
      <w:r>
        <w:rPr>
          <w:rFonts w:hint="eastAsia" w:ascii="宋体" w:hAnsi="宋体" w:eastAsia="宋体" w:cs="宋体"/>
          <w:b w:val="0"/>
          <w:bCs/>
          <w:szCs w:val="21"/>
          <w:highlight w:val="none"/>
          <w:lang w:eastAsia="zh-CN"/>
        </w:rPr>
        <w:t>设备维保、维修、更换配件材料费、人工费、安全措施费、培训及技术指导费、税金、安全管理、检验校验、保险费、印刷费等为完成本项目所必须的其他辅助工作的相关费用等所有费用。</w:t>
      </w:r>
    </w:p>
    <w:p>
      <w:pPr>
        <w:numPr>
          <w:ilvl w:val="0"/>
          <w:numId w:val="0"/>
        </w:numPr>
        <w:spacing w:line="360" w:lineRule="auto"/>
        <w:ind w:firstLine="422" w:firstLineChars="200"/>
        <w:rPr>
          <w:rFonts w:hint="eastAsia" w:ascii="宋体" w:hAnsi="宋体" w:eastAsia="宋体" w:cs="宋体"/>
          <w:b w:val="0"/>
          <w:bCs/>
          <w:szCs w:val="21"/>
          <w:highlight w:val="none"/>
          <w:lang w:eastAsia="zh-CN"/>
        </w:rPr>
      </w:pPr>
      <w:r>
        <w:rPr>
          <w:rFonts w:hint="eastAsia" w:ascii="宋体" w:hAnsi="宋体" w:cs="宋体"/>
          <w:b/>
          <w:bCs w:val="0"/>
          <w:szCs w:val="21"/>
          <w:highlight w:val="none"/>
          <w:lang w:eastAsia="zh-CN"/>
        </w:rPr>
        <w:t>五、</w:t>
      </w:r>
      <w:r>
        <w:rPr>
          <w:rFonts w:hint="eastAsia" w:ascii="宋体" w:hAnsi="宋体" w:eastAsia="宋体" w:cs="宋体"/>
          <w:b/>
          <w:bCs w:val="0"/>
          <w:szCs w:val="21"/>
          <w:highlight w:val="none"/>
          <w:lang w:eastAsia="zh-CN"/>
        </w:rPr>
        <w:t>付款方式：</w:t>
      </w:r>
      <w:r>
        <w:rPr>
          <w:rFonts w:hint="eastAsia" w:ascii="宋体" w:hAnsi="宋体" w:eastAsia="宋体" w:cs="宋体"/>
          <w:b w:val="0"/>
          <w:bCs/>
          <w:szCs w:val="21"/>
          <w:highlight w:val="none"/>
          <w:lang w:eastAsia="zh-CN"/>
        </w:rPr>
        <w:t>本项目按月考核，每季度根据考核结果支付当季合同价款。</w:t>
      </w:r>
    </w:p>
    <w:p>
      <w:pPr>
        <w:numPr>
          <w:ilvl w:val="0"/>
          <w:numId w:val="0"/>
        </w:numPr>
        <w:spacing w:line="360" w:lineRule="auto"/>
        <w:ind w:firstLine="422" w:firstLineChars="200"/>
        <w:rPr>
          <w:rFonts w:hint="eastAsia" w:ascii="宋体" w:hAnsi="宋体" w:eastAsia="宋体" w:cs="宋体"/>
          <w:b w:val="0"/>
          <w:bCs/>
          <w:szCs w:val="21"/>
          <w:highlight w:val="none"/>
          <w:lang w:eastAsia="zh-CN"/>
        </w:rPr>
      </w:pPr>
      <w:r>
        <w:rPr>
          <w:rFonts w:hint="eastAsia" w:ascii="宋体" w:hAnsi="宋体" w:eastAsia="宋体" w:cs="宋体"/>
          <w:b/>
          <w:bCs w:val="0"/>
          <w:szCs w:val="21"/>
          <w:highlight w:val="none"/>
          <w:lang w:eastAsia="zh-CN"/>
        </w:rPr>
        <w:t>六、考核内容：</w:t>
      </w:r>
      <w:r>
        <w:rPr>
          <w:rFonts w:hint="eastAsia" w:ascii="宋体" w:hAnsi="宋体" w:eastAsia="宋体" w:cs="宋体"/>
          <w:b w:val="0"/>
          <w:bCs/>
          <w:szCs w:val="21"/>
          <w:highlight w:val="none"/>
          <w:lang w:eastAsia="zh-CN"/>
        </w:rPr>
        <w:t>详见附表《电梯维保服务质量考核表》。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588"/>
        <w:gridCol w:w="4720"/>
        <w:gridCol w:w="542"/>
        <w:gridCol w:w="1211"/>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288" w:type="dxa"/>
            <w:gridSpan w:val="6"/>
            <w:tcBorders>
              <w:top w:val="nil"/>
              <w:left w:val="nil"/>
              <w:bottom w:val="single" w:color="auto" w:sz="4" w:space="0"/>
              <w:right w:val="nil"/>
            </w:tcBorders>
          </w:tcPr>
          <w:p>
            <w:pPr>
              <w:spacing w:beforeLines="0" w:afterLines="0"/>
              <w:jc w:val="left"/>
              <w:rPr>
                <w:rFonts w:hint="eastAsia" w:ascii="宋体" w:hAnsi="宋体" w:eastAsia="宋体" w:cs="宋体"/>
                <w:sz w:val="16"/>
                <w:szCs w:val="16"/>
                <w:highlight w:val="none"/>
                <w:lang w:eastAsia="zh-CN"/>
              </w:rPr>
            </w:pPr>
            <w:r>
              <w:rPr>
                <w:rFonts w:hint="eastAsia" w:ascii="宋体" w:hAnsi="宋体" w:eastAsia="宋体" w:cs="宋体"/>
                <w:sz w:val="16"/>
                <w:szCs w:val="16"/>
                <w:highlight w:val="none"/>
                <w:lang w:eastAsia="zh-CN"/>
              </w:rPr>
              <w:t>附表</w:t>
            </w:r>
          </w:p>
          <w:p>
            <w:pPr>
              <w:spacing w:beforeLines="0" w:afterLines="0" w:line="360" w:lineRule="auto"/>
              <w:jc w:val="center"/>
              <w:rPr>
                <w:rFonts w:hint="eastAsia" w:ascii="宋体" w:hAnsi="宋体" w:eastAsia="宋体" w:cs="宋体"/>
                <w:sz w:val="21"/>
                <w:szCs w:val="21"/>
                <w:highlight w:val="none"/>
              </w:rPr>
            </w:pPr>
            <w:r>
              <w:rPr>
                <w:rFonts w:hint="eastAsia" w:ascii="宋体" w:hAnsi="宋体" w:eastAsia="宋体" w:cs="宋体"/>
                <w:b/>
                <w:bCs/>
                <w:sz w:val="22"/>
                <w:szCs w:val="22"/>
                <w:highlight w:val="none"/>
              </w:rPr>
              <w:t>电梯维保服务质量考核表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165" w:type="dxa"/>
            <w:tcBorders>
              <w:top w:val="single" w:color="auto" w:sz="4" w:space="0"/>
            </w:tcBorders>
          </w:tcPr>
          <w:p>
            <w:pPr>
              <w:numPr>
                <w:ilvl w:val="0"/>
                <w:numId w:val="0"/>
              </w:numPr>
              <w:spacing w:line="360" w:lineRule="auto"/>
              <w:rPr>
                <w:rFonts w:hint="eastAsia" w:ascii="宋体" w:hAnsi="宋体" w:eastAsia="宋体" w:cs="宋体"/>
                <w:b w:val="0"/>
                <w:bCs/>
                <w:kern w:val="2"/>
                <w:sz w:val="21"/>
                <w:szCs w:val="21"/>
                <w:highlight w:val="none"/>
                <w:vertAlign w:val="baseline"/>
                <w:lang w:val="en-US" w:eastAsia="zh-CN" w:bidi="ar-SA"/>
              </w:rPr>
            </w:pPr>
          </w:p>
        </w:tc>
        <w:tc>
          <w:tcPr>
            <w:tcW w:w="588" w:type="dxa"/>
            <w:tcBorders>
              <w:top w:val="single" w:color="auto" w:sz="4" w:space="0"/>
            </w:tcBorders>
            <w:vAlign w:val="center"/>
          </w:tcPr>
          <w:p>
            <w:pPr>
              <w:spacing w:beforeLines="0" w:afterLines="0"/>
              <w:jc w:val="center"/>
              <w:rPr>
                <w:rFonts w:hint="eastAsia" w:ascii="宋体" w:hAnsi="宋体" w:eastAsia="宋体" w:cs="宋体"/>
                <w:b w:val="0"/>
                <w:bCs/>
                <w:kern w:val="2"/>
                <w:sz w:val="21"/>
                <w:szCs w:val="21"/>
                <w:highlight w:val="none"/>
                <w:vertAlign w:val="baseline"/>
                <w:lang w:val="en-US" w:eastAsia="zh-CN" w:bidi="ar-SA"/>
              </w:rPr>
            </w:pPr>
            <w:r>
              <w:rPr>
                <w:rFonts w:hint="eastAsia" w:ascii="宋体" w:hAnsi="宋体" w:eastAsia="宋体" w:cs="宋体"/>
                <w:sz w:val="21"/>
                <w:szCs w:val="21"/>
                <w:highlight w:val="none"/>
              </w:rPr>
              <w:t>序号</w:t>
            </w:r>
          </w:p>
        </w:tc>
        <w:tc>
          <w:tcPr>
            <w:tcW w:w="4720" w:type="dxa"/>
            <w:tcBorders>
              <w:top w:val="single" w:color="auto" w:sz="4" w:space="0"/>
            </w:tcBorders>
            <w:vAlign w:val="center"/>
          </w:tcPr>
          <w:p>
            <w:pPr>
              <w:spacing w:beforeLines="0" w:afterLines="0"/>
              <w:jc w:val="center"/>
              <w:rPr>
                <w:rFonts w:hint="eastAsia" w:ascii="宋体" w:hAnsi="宋体" w:eastAsia="宋体" w:cs="宋体"/>
                <w:b w:val="0"/>
                <w:bCs/>
                <w:kern w:val="2"/>
                <w:sz w:val="21"/>
                <w:szCs w:val="21"/>
                <w:highlight w:val="none"/>
                <w:vertAlign w:val="baseline"/>
                <w:lang w:val="en-US" w:eastAsia="zh-CN" w:bidi="ar-SA"/>
              </w:rPr>
            </w:pPr>
            <w:r>
              <w:rPr>
                <w:rFonts w:hint="eastAsia" w:ascii="宋体" w:hAnsi="宋体" w:eastAsia="宋体" w:cs="宋体"/>
                <w:sz w:val="21"/>
                <w:szCs w:val="21"/>
                <w:highlight w:val="none"/>
              </w:rPr>
              <w:t>考核内容</w:t>
            </w:r>
          </w:p>
        </w:tc>
        <w:tc>
          <w:tcPr>
            <w:tcW w:w="542" w:type="dxa"/>
            <w:tcBorders>
              <w:top w:val="single" w:color="auto" w:sz="4" w:space="0"/>
            </w:tcBorders>
            <w:vAlign w:val="center"/>
          </w:tcPr>
          <w:p>
            <w:pPr>
              <w:spacing w:beforeLines="0" w:afterLines="0"/>
              <w:jc w:val="center"/>
              <w:rPr>
                <w:rFonts w:hint="eastAsia" w:ascii="宋体" w:hAnsi="宋体" w:eastAsia="宋体" w:cs="宋体"/>
                <w:b w:val="0"/>
                <w:bCs/>
                <w:kern w:val="2"/>
                <w:sz w:val="21"/>
                <w:szCs w:val="21"/>
                <w:highlight w:val="none"/>
                <w:vertAlign w:val="baseline"/>
                <w:lang w:val="en-US" w:eastAsia="zh-CN" w:bidi="ar-SA"/>
              </w:rPr>
            </w:pPr>
            <w:r>
              <w:rPr>
                <w:rFonts w:hint="eastAsia" w:ascii="宋体" w:hAnsi="宋体" w:eastAsia="宋体" w:cs="宋体"/>
                <w:sz w:val="21"/>
                <w:szCs w:val="21"/>
                <w:highlight w:val="none"/>
              </w:rPr>
              <w:t>分值</w:t>
            </w:r>
          </w:p>
        </w:tc>
        <w:tc>
          <w:tcPr>
            <w:tcW w:w="1211" w:type="dxa"/>
            <w:tcBorders>
              <w:top w:val="single" w:color="auto" w:sz="4" w:space="0"/>
            </w:tcBorders>
            <w:vAlign w:val="center"/>
          </w:tcPr>
          <w:p>
            <w:pPr>
              <w:spacing w:beforeLines="0" w:afterLines="0"/>
              <w:jc w:val="center"/>
              <w:rPr>
                <w:rFonts w:hint="eastAsia" w:ascii="宋体" w:hAnsi="宋体" w:eastAsia="宋体" w:cs="宋体"/>
                <w:b w:val="0"/>
                <w:bCs/>
                <w:kern w:val="2"/>
                <w:sz w:val="21"/>
                <w:szCs w:val="21"/>
                <w:highlight w:val="none"/>
                <w:vertAlign w:val="baseline"/>
                <w:lang w:val="en-US" w:eastAsia="zh-CN" w:bidi="ar-SA"/>
              </w:rPr>
            </w:pPr>
            <w:r>
              <w:rPr>
                <w:rFonts w:hint="eastAsia" w:ascii="宋体" w:hAnsi="宋体" w:eastAsia="宋体" w:cs="宋体"/>
                <w:sz w:val="21"/>
                <w:szCs w:val="21"/>
                <w:highlight w:val="none"/>
              </w:rPr>
              <w:t>实得分</w:t>
            </w:r>
          </w:p>
        </w:tc>
        <w:tc>
          <w:tcPr>
            <w:tcW w:w="1062" w:type="dxa"/>
            <w:tcBorders>
              <w:top w:val="single" w:color="auto" w:sz="4" w:space="0"/>
            </w:tcBorders>
            <w:vAlign w:val="center"/>
          </w:tcPr>
          <w:p>
            <w:pPr>
              <w:spacing w:beforeLines="0" w:afterLines="0"/>
              <w:jc w:val="center"/>
              <w:rPr>
                <w:rFonts w:hint="eastAsia" w:ascii="宋体" w:hAnsi="宋体" w:eastAsia="宋体" w:cs="宋体"/>
                <w:b w:val="0"/>
                <w:bCs/>
                <w:kern w:val="2"/>
                <w:sz w:val="21"/>
                <w:szCs w:val="21"/>
                <w:highlight w:val="none"/>
                <w:vertAlign w:val="baseline"/>
                <w:lang w:val="en-US" w:eastAsia="zh-CN" w:bidi="ar-SA"/>
              </w:rPr>
            </w:pPr>
            <w:r>
              <w:rPr>
                <w:rFonts w:hint="eastAsia" w:ascii="宋体" w:hAnsi="宋体" w:eastAsia="宋体" w:cs="宋体"/>
                <w:sz w:val="21"/>
                <w:szCs w:val="21"/>
                <w:highlight w:val="none"/>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restart"/>
            <w:vAlign w:val="center"/>
          </w:tcPr>
          <w:p>
            <w:pPr>
              <w:numPr>
                <w:ilvl w:val="0"/>
                <w:numId w:val="0"/>
              </w:numPr>
              <w:spacing w:line="360" w:lineRule="auto"/>
              <w:jc w:val="center"/>
              <w:rPr>
                <w:rFonts w:hint="eastAsia" w:ascii="宋体" w:hAnsi="宋体" w:eastAsia="宋体" w:cs="宋体"/>
                <w:b w:val="0"/>
                <w:bCs/>
                <w:kern w:val="2"/>
                <w:sz w:val="21"/>
                <w:szCs w:val="21"/>
                <w:highlight w:val="none"/>
                <w:vertAlign w:val="baseline"/>
                <w:lang w:val="en-US" w:eastAsia="zh-CN" w:bidi="ar-SA"/>
              </w:rPr>
            </w:pPr>
            <w:r>
              <w:rPr>
                <w:rFonts w:hint="eastAsia" w:ascii="宋体" w:hAnsi="宋体" w:eastAsia="宋体" w:cs="宋体"/>
                <w:b w:val="0"/>
                <w:bCs/>
                <w:kern w:val="2"/>
                <w:sz w:val="21"/>
                <w:szCs w:val="21"/>
                <w:highlight w:val="none"/>
                <w:vertAlign w:val="baseline"/>
                <w:lang w:val="en-US" w:eastAsia="zh-CN" w:bidi="ar-SA"/>
              </w:rPr>
              <w:t>服务质量</w:t>
            </w:r>
          </w:p>
        </w:tc>
        <w:tc>
          <w:tcPr>
            <w:tcW w:w="588" w:type="dxa"/>
            <w:vAlign w:val="center"/>
          </w:tcPr>
          <w:p>
            <w:pPr>
              <w:spacing w:beforeLines="0" w:afterLines="0"/>
              <w:jc w:val="center"/>
              <w:rPr>
                <w:rFonts w:hint="eastAsia" w:ascii="宋体" w:hAnsi="宋体" w:eastAsia="宋体" w:cs="宋体"/>
                <w:b w:val="0"/>
                <w:bCs/>
                <w:kern w:val="2"/>
                <w:sz w:val="21"/>
                <w:szCs w:val="21"/>
                <w:highlight w:val="none"/>
                <w:vertAlign w:val="baseline"/>
                <w:lang w:val="en-US" w:eastAsia="zh-CN" w:bidi="ar-SA"/>
              </w:rPr>
            </w:pPr>
            <w:r>
              <w:rPr>
                <w:rFonts w:hint="eastAsia" w:ascii="宋体" w:hAnsi="宋体" w:eastAsia="宋体" w:cs="宋体"/>
                <w:sz w:val="21"/>
                <w:szCs w:val="21"/>
                <w:highlight w:val="none"/>
              </w:rPr>
              <w:t>1</w:t>
            </w:r>
          </w:p>
        </w:tc>
        <w:tc>
          <w:tcPr>
            <w:tcW w:w="4720" w:type="dxa"/>
            <w:vAlign w:val="center"/>
          </w:tcPr>
          <w:p>
            <w:pPr>
              <w:spacing w:beforeLines="0" w:afterLines="0"/>
              <w:rPr>
                <w:rFonts w:hint="eastAsia" w:ascii="宋体" w:hAnsi="宋体" w:eastAsia="宋体" w:cs="宋体"/>
                <w:b w:val="0"/>
                <w:bCs/>
                <w:kern w:val="2"/>
                <w:sz w:val="21"/>
                <w:szCs w:val="21"/>
                <w:highlight w:val="none"/>
                <w:vertAlign w:val="baseline"/>
                <w:lang w:val="en-US" w:eastAsia="zh-CN" w:bidi="ar-SA"/>
              </w:rPr>
            </w:pPr>
            <w:r>
              <w:rPr>
                <w:rFonts w:hint="eastAsia" w:ascii="宋体" w:hAnsi="宋体" w:eastAsia="宋体" w:cs="宋体"/>
                <w:sz w:val="21"/>
                <w:szCs w:val="21"/>
                <w:highlight w:val="none"/>
              </w:rPr>
              <w:t>乙方具有相应资质，所维保的电梯应符合安全技术规范、强制性标准和电梯制造单位的技术要求；</w:t>
            </w:r>
          </w:p>
        </w:tc>
        <w:tc>
          <w:tcPr>
            <w:tcW w:w="542" w:type="dxa"/>
            <w:vAlign w:val="center"/>
          </w:tcPr>
          <w:p>
            <w:pPr>
              <w:spacing w:beforeLines="0" w:afterLines="0"/>
              <w:jc w:val="center"/>
              <w:rPr>
                <w:rFonts w:hint="eastAsia" w:ascii="宋体" w:hAnsi="宋体" w:eastAsia="宋体" w:cs="宋体"/>
                <w:b w:val="0"/>
                <w:bCs/>
                <w:kern w:val="2"/>
                <w:sz w:val="21"/>
                <w:szCs w:val="21"/>
                <w:highlight w:val="none"/>
                <w:vertAlign w:val="baseline"/>
                <w:lang w:val="en-US" w:eastAsia="zh-CN" w:bidi="ar-SA"/>
              </w:rPr>
            </w:pPr>
            <w:r>
              <w:rPr>
                <w:rFonts w:hint="eastAsia" w:ascii="宋体" w:hAnsi="宋体" w:eastAsia="宋体" w:cs="宋体"/>
                <w:sz w:val="21"/>
                <w:szCs w:val="21"/>
                <w:highlight w:val="none"/>
              </w:rPr>
              <w:t>8</w:t>
            </w:r>
          </w:p>
        </w:tc>
        <w:tc>
          <w:tcPr>
            <w:tcW w:w="1211" w:type="dxa"/>
          </w:tcPr>
          <w:p>
            <w:pPr>
              <w:numPr>
                <w:ilvl w:val="0"/>
                <w:numId w:val="0"/>
              </w:numPr>
              <w:spacing w:line="360" w:lineRule="auto"/>
              <w:rPr>
                <w:rFonts w:hint="eastAsia" w:ascii="宋体" w:hAnsi="宋体" w:eastAsia="宋体" w:cs="宋体"/>
                <w:b w:val="0"/>
                <w:bCs/>
                <w:kern w:val="2"/>
                <w:sz w:val="21"/>
                <w:szCs w:val="21"/>
                <w:highlight w:val="none"/>
                <w:vertAlign w:val="baseline"/>
                <w:lang w:val="en-US" w:eastAsia="zh-CN" w:bidi="ar-SA"/>
              </w:rPr>
            </w:pPr>
          </w:p>
        </w:tc>
        <w:tc>
          <w:tcPr>
            <w:tcW w:w="1062" w:type="dxa"/>
          </w:tcPr>
          <w:p>
            <w:pPr>
              <w:numPr>
                <w:ilvl w:val="0"/>
                <w:numId w:val="0"/>
              </w:numPr>
              <w:spacing w:line="360" w:lineRule="auto"/>
              <w:rPr>
                <w:rFonts w:hint="eastAsia" w:ascii="宋体" w:hAnsi="宋体" w:eastAsia="宋体" w:cs="宋体"/>
                <w:b w:val="0"/>
                <w:bCs/>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tcPr>
          <w:p>
            <w:pPr>
              <w:numPr>
                <w:ilvl w:val="0"/>
                <w:numId w:val="0"/>
              </w:numPr>
              <w:spacing w:line="360" w:lineRule="auto"/>
              <w:rPr>
                <w:rFonts w:hint="eastAsia" w:ascii="宋体" w:hAnsi="宋体" w:eastAsia="宋体" w:cs="宋体"/>
                <w:b w:val="0"/>
                <w:bCs/>
                <w:kern w:val="2"/>
                <w:sz w:val="21"/>
                <w:szCs w:val="21"/>
                <w:highlight w:val="none"/>
                <w:vertAlign w:val="baseline"/>
                <w:lang w:val="en-US" w:eastAsia="zh-CN" w:bidi="ar-SA"/>
              </w:rPr>
            </w:pPr>
          </w:p>
        </w:tc>
        <w:tc>
          <w:tcPr>
            <w:tcW w:w="588" w:type="dxa"/>
            <w:vAlign w:val="center"/>
          </w:tcPr>
          <w:p>
            <w:pPr>
              <w:spacing w:beforeLines="0" w:afterLines="0"/>
              <w:jc w:val="center"/>
              <w:rPr>
                <w:rFonts w:hint="eastAsia" w:ascii="宋体" w:hAnsi="宋体" w:eastAsia="宋体" w:cs="宋体"/>
                <w:b w:val="0"/>
                <w:bCs/>
                <w:kern w:val="2"/>
                <w:sz w:val="21"/>
                <w:szCs w:val="21"/>
                <w:highlight w:val="none"/>
                <w:vertAlign w:val="baseline"/>
                <w:lang w:val="en-US" w:eastAsia="zh-CN" w:bidi="ar-SA"/>
              </w:rPr>
            </w:pPr>
            <w:r>
              <w:rPr>
                <w:rFonts w:hint="eastAsia" w:ascii="宋体" w:hAnsi="宋体" w:eastAsia="宋体" w:cs="宋体"/>
                <w:sz w:val="21"/>
                <w:szCs w:val="21"/>
                <w:highlight w:val="none"/>
              </w:rPr>
              <w:t>2</w:t>
            </w:r>
          </w:p>
        </w:tc>
        <w:tc>
          <w:tcPr>
            <w:tcW w:w="4720" w:type="dxa"/>
            <w:vAlign w:val="center"/>
          </w:tcPr>
          <w:p>
            <w:pPr>
              <w:spacing w:beforeLines="0" w:afterLines="0"/>
              <w:rPr>
                <w:rFonts w:hint="eastAsia" w:ascii="宋体" w:hAnsi="宋体" w:eastAsia="宋体" w:cs="宋体"/>
                <w:b w:val="0"/>
                <w:bCs/>
                <w:kern w:val="2"/>
                <w:sz w:val="21"/>
                <w:szCs w:val="21"/>
                <w:highlight w:val="none"/>
                <w:vertAlign w:val="baseline"/>
                <w:lang w:val="en-US" w:eastAsia="zh-CN" w:bidi="ar-SA"/>
              </w:rPr>
            </w:pPr>
            <w:r>
              <w:rPr>
                <w:rFonts w:hint="eastAsia" w:ascii="宋体" w:hAnsi="宋体" w:eastAsia="宋体" w:cs="宋体"/>
                <w:sz w:val="21"/>
                <w:szCs w:val="21"/>
                <w:highlight w:val="none"/>
              </w:rPr>
              <w:t>乙方作业人员应当取得相应的《特种设备作业人员证》，并安排熟悉所维保电梯结构、性能、安全要求的作业人员负责维保工作，并督促其严格按照产品工艺要求、安全及技术规范进行维保；</w:t>
            </w:r>
          </w:p>
        </w:tc>
        <w:tc>
          <w:tcPr>
            <w:tcW w:w="542" w:type="dxa"/>
            <w:vAlign w:val="center"/>
          </w:tcPr>
          <w:p>
            <w:pPr>
              <w:spacing w:beforeLines="0" w:afterLines="0"/>
              <w:jc w:val="center"/>
              <w:rPr>
                <w:rFonts w:hint="eastAsia" w:ascii="宋体" w:hAnsi="宋体" w:eastAsia="宋体" w:cs="宋体"/>
                <w:b w:val="0"/>
                <w:bCs/>
                <w:kern w:val="2"/>
                <w:sz w:val="21"/>
                <w:szCs w:val="21"/>
                <w:highlight w:val="none"/>
                <w:vertAlign w:val="baseline"/>
                <w:lang w:val="en-US" w:eastAsia="zh-CN" w:bidi="ar-SA"/>
              </w:rPr>
            </w:pPr>
            <w:r>
              <w:rPr>
                <w:rFonts w:hint="eastAsia" w:ascii="宋体" w:hAnsi="宋体" w:eastAsia="宋体" w:cs="宋体"/>
                <w:sz w:val="21"/>
                <w:szCs w:val="21"/>
                <w:highlight w:val="none"/>
              </w:rPr>
              <w:t>7</w:t>
            </w:r>
          </w:p>
        </w:tc>
        <w:tc>
          <w:tcPr>
            <w:tcW w:w="1211" w:type="dxa"/>
          </w:tcPr>
          <w:p>
            <w:pPr>
              <w:numPr>
                <w:ilvl w:val="0"/>
                <w:numId w:val="0"/>
              </w:numPr>
              <w:spacing w:line="360" w:lineRule="auto"/>
              <w:rPr>
                <w:rFonts w:hint="eastAsia" w:ascii="宋体" w:hAnsi="宋体" w:eastAsia="宋体" w:cs="宋体"/>
                <w:b w:val="0"/>
                <w:bCs/>
                <w:kern w:val="2"/>
                <w:sz w:val="21"/>
                <w:szCs w:val="21"/>
                <w:highlight w:val="none"/>
                <w:vertAlign w:val="baseline"/>
                <w:lang w:val="en-US" w:eastAsia="zh-CN" w:bidi="ar-SA"/>
              </w:rPr>
            </w:pPr>
          </w:p>
        </w:tc>
        <w:tc>
          <w:tcPr>
            <w:tcW w:w="1062" w:type="dxa"/>
          </w:tcPr>
          <w:p>
            <w:pPr>
              <w:numPr>
                <w:ilvl w:val="0"/>
                <w:numId w:val="0"/>
              </w:numPr>
              <w:spacing w:line="360" w:lineRule="auto"/>
              <w:rPr>
                <w:rFonts w:hint="eastAsia" w:ascii="宋体" w:hAnsi="宋体" w:eastAsia="宋体" w:cs="宋体"/>
                <w:b w:val="0"/>
                <w:bCs/>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tcPr>
          <w:p>
            <w:pPr>
              <w:numPr>
                <w:ilvl w:val="0"/>
                <w:numId w:val="0"/>
              </w:numPr>
              <w:spacing w:line="360" w:lineRule="auto"/>
              <w:rPr>
                <w:rFonts w:hint="eastAsia" w:ascii="宋体" w:hAnsi="宋体" w:eastAsia="宋体" w:cs="宋体"/>
                <w:b w:val="0"/>
                <w:bCs/>
                <w:kern w:val="2"/>
                <w:sz w:val="21"/>
                <w:szCs w:val="21"/>
                <w:highlight w:val="none"/>
                <w:vertAlign w:val="baseline"/>
                <w:lang w:val="en-US" w:eastAsia="zh-CN" w:bidi="ar-SA"/>
              </w:rPr>
            </w:pPr>
          </w:p>
        </w:tc>
        <w:tc>
          <w:tcPr>
            <w:tcW w:w="588" w:type="dxa"/>
            <w:vAlign w:val="center"/>
          </w:tcPr>
          <w:p>
            <w:pPr>
              <w:spacing w:beforeLines="0" w:afterLines="0"/>
              <w:jc w:val="center"/>
              <w:rPr>
                <w:rFonts w:hint="eastAsia" w:ascii="宋体" w:hAnsi="宋体" w:eastAsia="宋体" w:cs="宋体"/>
                <w:b w:val="0"/>
                <w:bCs/>
                <w:kern w:val="2"/>
                <w:sz w:val="21"/>
                <w:szCs w:val="21"/>
                <w:highlight w:val="none"/>
                <w:vertAlign w:val="baseline"/>
                <w:lang w:val="en-US" w:eastAsia="zh-CN" w:bidi="ar-SA"/>
              </w:rPr>
            </w:pPr>
            <w:r>
              <w:rPr>
                <w:rFonts w:hint="eastAsia" w:ascii="宋体" w:hAnsi="宋体" w:eastAsia="宋体" w:cs="宋体"/>
                <w:sz w:val="21"/>
                <w:szCs w:val="21"/>
                <w:highlight w:val="none"/>
              </w:rPr>
              <w:t>3</w:t>
            </w:r>
          </w:p>
        </w:tc>
        <w:tc>
          <w:tcPr>
            <w:tcW w:w="4720" w:type="dxa"/>
            <w:vAlign w:val="center"/>
          </w:tcPr>
          <w:p>
            <w:pPr>
              <w:spacing w:beforeLines="0" w:afterLines="0"/>
              <w:rPr>
                <w:rFonts w:hint="eastAsia" w:ascii="宋体" w:hAnsi="宋体" w:eastAsia="宋体" w:cs="宋体"/>
                <w:b w:val="0"/>
                <w:bCs/>
                <w:kern w:val="2"/>
                <w:sz w:val="21"/>
                <w:szCs w:val="21"/>
                <w:highlight w:val="none"/>
                <w:vertAlign w:val="baseline"/>
                <w:lang w:val="en-US" w:eastAsia="zh-CN" w:bidi="ar-SA"/>
              </w:rPr>
            </w:pPr>
            <w:r>
              <w:rPr>
                <w:rFonts w:hint="eastAsia" w:ascii="宋体" w:hAnsi="宋体" w:eastAsia="宋体" w:cs="宋体"/>
                <w:sz w:val="21"/>
                <w:szCs w:val="21"/>
                <w:highlight w:val="none"/>
              </w:rPr>
              <w:t>乙方应在当地特种设备监察部门备案，检验业务应在许可资质范围内；</w:t>
            </w:r>
          </w:p>
        </w:tc>
        <w:tc>
          <w:tcPr>
            <w:tcW w:w="542" w:type="dxa"/>
            <w:vAlign w:val="center"/>
          </w:tcPr>
          <w:p>
            <w:pPr>
              <w:spacing w:beforeLines="0" w:afterLines="0"/>
              <w:jc w:val="center"/>
              <w:rPr>
                <w:rFonts w:hint="eastAsia" w:ascii="宋体" w:hAnsi="宋体" w:eastAsia="宋体" w:cs="宋体"/>
                <w:b w:val="0"/>
                <w:bCs/>
                <w:kern w:val="2"/>
                <w:sz w:val="21"/>
                <w:szCs w:val="21"/>
                <w:highlight w:val="none"/>
                <w:vertAlign w:val="baseline"/>
                <w:lang w:val="en-US" w:eastAsia="zh-CN" w:bidi="ar-SA"/>
              </w:rPr>
            </w:pPr>
            <w:r>
              <w:rPr>
                <w:rFonts w:hint="eastAsia" w:ascii="宋体" w:hAnsi="宋体" w:eastAsia="宋体" w:cs="宋体"/>
                <w:sz w:val="21"/>
                <w:szCs w:val="21"/>
                <w:highlight w:val="none"/>
              </w:rPr>
              <w:t>4</w:t>
            </w:r>
          </w:p>
        </w:tc>
        <w:tc>
          <w:tcPr>
            <w:tcW w:w="1211" w:type="dxa"/>
          </w:tcPr>
          <w:p>
            <w:pPr>
              <w:numPr>
                <w:ilvl w:val="0"/>
                <w:numId w:val="0"/>
              </w:numPr>
              <w:spacing w:line="360" w:lineRule="auto"/>
              <w:rPr>
                <w:rFonts w:hint="eastAsia" w:ascii="宋体" w:hAnsi="宋体" w:eastAsia="宋体" w:cs="宋体"/>
                <w:b w:val="0"/>
                <w:bCs/>
                <w:kern w:val="2"/>
                <w:sz w:val="21"/>
                <w:szCs w:val="21"/>
                <w:highlight w:val="none"/>
                <w:vertAlign w:val="baseline"/>
                <w:lang w:val="en-US" w:eastAsia="zh-CN" w:bidi="ar-SA"/>
              </w:rPr>
            </w:pPr>
          </w:p>
        </w:tc>
        <w:tc>
          <w:tcPr>
            <w:tcW w:w="1062" w:type="dxa"/>
          </w:tcPr>
          <w:p>
            <w:pPr>
              <w:numPr>
                <w:ilvl w:val="0"/>
                <w:numId w:val="0"/>
              </w:numPr>
              <w:spacing w:line="360" w:lineRule="auto"/>
              <w:rPr>
                <w:rFonts w:hint="eastAsia" w:ascii="宋体" w:hAnsi="宋体" w:eastAsia="宋体" w:cs="宋体"/>
                <w:b w:val="0"/>
                <w:bCs/>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tcPr>
          <w:p>
            <w:pPr>
              <w:numPr>
                <w:ilvl w:val="0"/>
                <w:numId w:val="0"/>
              </w:numPr>
              <w:spacing w:line="360" w:lineRule="auto"/>
              <w:rPr>
                <w:rFonts w:hint="eastAsia" w:ascii="宋体" w:hAnsi="宋体" w:eastAsia="宋体" w:cs="宋体"/>
                <w:b w:val="0"/>
                <w:bCs/>
                <w:kern w:val="2"/>
                <w:sz w:val="21"/>
                <w:szCs w:val="21"/>
                <w:highlight w:val="none"/>
                <w:vertAlign w:val="baseline"/>
                <w:lang w:val="en-US" w:eastAsia="zh-CN" w:bidi="ar-SA"/>
              </w:rPr>
            </w:pPr>
          </w:p>
        </w:tc>
        <w:tc>
          <w:tcPr>
            <w:tcW w:w="588" w:type="dxa"/>
            <w:vAlign w:val="center"/>
          </w:tcPr>
          <w:p>
            <w:pPr>
              <w:spacing w:beforeLines="0" w:afterLines="0"/>
              <w:jc w:val="center"/>
              <w:rPr>
                <w:rFonts w:hint="eastAsia" w:ascii="宋体" w:hAnsi="宋体" w:eastAsia="宋体" w:cs="宋体"/>
                <w:b w:val="0"/>
                <w:bCs/>
                <w:kern w:val="2"/>
                <w:sz w:val="21"/>
                <w:szCs w:val="21"/>
                <w:highlight w:val="none"/>
                <w:vertAlign w:val="baseline"/>
                <w:lang w:val="en-US" w:eastAsia="zh-CN" w:bidi="ar-SA"/>
              </w:rPr>
            </w:pPr>
            <w:r>
              <w:rPr>
                <w:rFonts w:hint="eastAsia" w:ascii="宋体" w:hAnsi="宋体" w:eastAsia="宋体" w:cs="宋体"/>
                <w:sz w:val="21"/>
                <w:szCs w:val="21"/>
                <w:highlight w:val="none"/>
              </w:rPr>
              <w:t>4</w:t>
            </w:r>
          </w:p>
        </w:tc>
        <w:tc>
          <w:tcPr>
            <w:tcW w:w="4720" w:type="dxa"/>
            <w:vAlign w:val="center"/>
          </w:tcPr>
          <w:p>
            <w:pPr>
              <w:spacing w:beforeLines="0" w:afterLines="0"/>
              <w:rPr>
                <w:rFonts w:hint="eastAsia" w:ascii="宋体" w:hAnsi="宋体" w:eastAsia="宋体" w:cs="宋体"/>
                <w:b w:val="0"/>
                <w:bCs/>
                <w:kern w:val="2"/>
                <w:sz w:val="21"/>
                <w:szCs w:val="21"/>
                <w:highlight w:val="none"/>
                <w:vertAlign w:val="baseline"/>
                <w:lang w:val="en-US" w:eastAsia="zh-CN" w:bidi="ar-SA"/>
              </w:rPr>
            </w:pPr>
            <w:r>
              <w:rPr>
                <w:rFonts w:hint="eastAsia" w:ascii="宋体" w:hAnsi="宋体" w:eastAsia="宋体" w:cs="宋体"/>
                <w:sz w:val="21"/>
                <w:szCs w:val="21"/>
                <w:highlight w:val="none"/>
              </w:rPr>
              <w:t>维保公司制定健全的《电梯事故应急预案》，并有演练记录；</w:t>
            </w:r>
          </w:p>
        </w:tc>
        <w:tc>
          <w:tcPr>
            <w:tcW w:w="542" w:type="dxa"/>
            <w:vAlign w:val="center"/>
          </w:tcPr>
          <w:p>
            <w:pPr>
              <w:spacing w:beforeLines="0" w:afterLines="0"/>
              <w:jc w:val="center"/>
              <w:rPr>
                <w:rFonts w:hint="eastAsia" w:ascii="宋体" w:hAnsi="宋体" w:eastAsia="宋体" w:cs="宋体"/>
                <w:b w:val="0"/>
                <w:bCs/>
                <w:kern w:val="2"/>
                <w:sz w:val="21"/>
                <w:szCs w:val="21"/>
                <w:highlight w:val="none"/>
                <w:vertAlign w:val="baseline"/>
                <w:lang w:val="en-US" w:eastAsia="zh-CN" w:bidi="ar-SA"/>
              </w:rPr>
            </w:pPr>
            <w:r>
              <w:rPr>
                <w:rFonts w:hint="eastAsia" w:ascii="宋体" w:hAnsi="宋体" w:eastAsia="宋体" w:cs="宋体"/>
                <w:sz w:val="21"/>
                <w:szCs w:val="21"/>
                <w:highlight w:val="none"/>
              </w:rPr>
              <w:t>4</w:t>
            </w:r>
          </w:p>
        </w:tc>
        <w:tc>
          <w:tcPr>
            <w:tcW w:w="1211" w:type="dxa"/>
          </w:tcPr>
          <w:p>
            <w:pPr>
              <w:numPr>
                <w:ilvl w:val="0"/>
                <w:numId w:val="0"/>
              </w:numPr>
              <w:spacing w:line="360" w:lineRule="auto"/>
              <w:rPr>
                <w:rFonts w:hint="eastAsia" w:ascii="宋体" w:hAnsi="宋体" w:eastAsia="宋体" w:cs="宋体"/>
                <w:b w:val="0"/>
                <w:bCs/>
                <w:kern w:val="2"/>
                <w:sz w:val="21"/>
                <w:szCs w:val="21"/>
                <w:highlight w:val="none"/>
                <w:vertAlign w:val="baseline"/>
                <w:lang w:val="en-US" w:eastAsia="zh-CN" w:bidi="ar-SA"/>
              </w:rPr>
            </w:pPr>
          </w:p>
        </w:tc>
        <w:tc>
          <w:tcPr>
            <w:tcW w:w="1062" w:type="dxa"/>
          </w:tcPr>
          <w:p>
            <w:pPr>
              <w:numPr>
                <w:ilvl w:val="0"/>
                <w:numId w:val="0"/>
              </w:numPr>
              <w:spacing w:line="360" w:lineRule="auto"/>
              <w:rPr>
                <w:rFonts w:hint="eastAsia" w:ascii="宋体" w:hAnsi="宋体" w:eastAsia="宋体" w:cs="宋体"/>
                <w:b w:val="0"/>
                <w:bCs/>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tcPr>
          <w:p>
            <w:pPr>
              <w:numPr>
                <w:ilvl w:val="0"/>
                <w:numId w:val="0"/>
              </w:numPr>
              <w:spacing w:line="360" w:lineRule="auto"/>
              <w:rPr>
                <w:rFonts w:hint="eastAsia" w:ascii="宋体" w:hAnsi="宋体" w:eastAsia="宋体" w:cs="宋体"/>
                <w:b w:val="0"/>
                <w:bCs/>
                <w:kern w:val="2"/>
                <w:sz w:val="21"/>
                <w:szCs w:val="21"/>
                <w:highlight w:val="none"/>
                <w:vertAlign w:val="baseline"/>
                <w:lang w:val="en-US" w:eastAsia="zh-CN" w:bidi="ar-SA"/>
              </w:rPr>
            </w:pPr>
          </w:p>
        </w:tc>
        <w:tc>
          <w:tcPr>
            <w:tcW w:w="588" w:type="dxa"/>
            <w:vAlign w:val="center"/>
          </w:tcPr>
          <w:p>
            <w:pPr>
              <w:spacing w:beforeLines="0" w:afterLines="0"/>
              <w:jc w:val="center"/>
              <w:rPr>
                <w:rFonts w:hint="eastAsia" w:ascii="宋体" w:hAnsi="宋体" w:eastAsia="宋体" w:cs="宋体"/>
                <w:b w:val="0"/>
                <w:bCs/>
                <w:kern w:val="2"/>
                <w:sz w:val="21"/>
                <w:szCs w:val="21"/>
                <w:highlight w:val="none"/>
                <w:vertAlign w:val="baseline"/>
                <w:lang w:val="en-US" w:eastAsia="zh-CN" w:bidi="ar-SA"/>
              </w:rPr>
            </w:pPr>
            <w:r>
              <w:rPr>
                <w:rFonts w:hint="eastAsia" w:ascii="宋体" w:hAnsi="宋体" w:eastAsia="宋体" w:cs="宋体"/>
                <w:sz w:val="21"/>
                <w:szCs w:val="21"/>
                <w:highlight w:val="none"/>
              </w:rPr>
              <w:t>5</w:t>
            </w:r>
          </w:p>
        </w:tc>
        <w:tc>
          <w:tcPr>
            <w:tcW w:w="4720" w:type="dxa"/>
            <w:vAlign w:val="center"/>
          </w:tcPr>
          <w:p>
            <w:pPr>
              <w:spacing w:beforeLines="0" w:afterLines="0"/>
              <w:rPr>
                <w:rFonts w:hint="eastAsia" w:ascii="宋体" w:hAnsi="宋体" w:eastAsia="宋体" w:cs="宋体"/>
                <w:b w:val="0"/>
                <w:bCs/>
                <w:kern w:val="2"/>
                <w:sz w:val="21"/>
                <w:szCs w:val="21"/>
                <w:highlight w:val="none"/>
                <w:vertAlign w:val="baseline"/>
                <w:lang w:val="en-US" w:eastAsia="zh-CN" w:bidi="ar-SA"/>
              </w:rPr>
            </w:pPr>
            <w:r>
              <w:rPr>
                <w:rFonts w:hint="eastAsia" w:ascii="宋体" w:hAnsi="宋体" w:eastAsia="宋体" w:cs="宋体"/>
                <w:sz w:val="21"/>
                <w:szCs w:val="21"/>
                <w:highlight w:val="none"/>
              </w:rPr>
              <w:t>乙方是否按期进行电梯日常维护保养日常管理，是否及时上报医院相关管理部门；</w:t>
            </w:r>
          </w:p>
        </w:tc>
        <w:tc>
          <w:tcPr>
            <w:tcW w:w="542" w:type="dxa"/>
            <w:vAlign w:val="center"/>
          </w:tcPr>
          <w:p>
            <w:pPr>
              <w:spacing w:beforeLines="0" w:afterLines="0"/>
              <w:jc w:val="center"/>
              <w:rPr>
                <w:rFonts w:hint="eastAsia" w:ascii="宋体" w:hAnsi="宋体" w:eastAsia="宋体" w:cs="宋体"/>
                <w:b w:val="0"/>
                <w:bCs/>
                <w:kern w:val="2"/>
                <w:sz w:val="21"/>
                <w:szCs w:val="21"/>
                <w:highlight w:val="none"/>
                <w:vertAlign w:val="baseline"/>
                <w:lang w:val="en-US" w:eastAsia="zh-CN" w:bidi="ar-SA"/>
              </w:rPr>
            </w:pPr>
            <w:r>
              <w:rPr>
                <w:rFonts w:hint="eastAsia" w:ascii="宋体" w:hAnsi="宋体" w:eastAsia="宋体" w:cs="宋体"/>
                <w:sz w:val="21"/>
                <w:szCs w:val="21"/>
                <w:highlight w:val="none"/>
              </w:rPr>
              <w:t>5</w:t>
            </w:r>
          </w:p>
        </w:tc>
        <w:tc>
          <w:tcPr>
            <w:tcW w:w="1211" w:type="dxa"/>
          </w:tcPr>
          <w:p>
            <w:pPr>
              <w:numPr>
                <w:ilvl w:val="0"/>
                <w:numId w:val="0"/>
              </w:numPr>
              <w:spacing w:line="360" w:lineRule="auto"/>
              <w:rPr>
                <w:rFonts w:hint="eastAsia" w:ascii="宋体" w:hAnsi="宋体" w:eastAsia="宋体" w:cs="宋体"/>
                <w:b w:val="0"/>
                <w:bCs/>
                <w:kern w:val="2"/>
                <w:sz w:val="21"/>
                <w:szCs w:val="21"/>
                <w:highlight w:val="none"/>
                <w:vertAlign w:val="baseline"/>
                <w:lang w:val="en-US" w:eastAsia="zh-CN" w:bidi="ar-SA"/>
              </w:rPr>
            </w:pPr>
          </w:p>
        </w:tc>
        <w:tc>
          <w:tcPr>
            <w:tcW w:w="1062" w:type="dxa"/>
          </w:tcPr>
          <w:p>
            <w:pPr>
              <w:numPr>
                <w:ilvl w:val="0"/>
                <w:numId w:val="0"/>
              </w:numPr>
              <w:spacing w:line="360" w:lineRule="auto"/>
              <w:rPr>
                <w:rFonts w:hint="eastAsia" w:ascii="宋体" w:hAnsi="宋体" w:eastAsia="宋体" w:cs="宋体"/>
                <w:b w:val="0"/>
                <w:bCs/>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tcPr>
          <w:p>
            <w:pPr>
              <w:numPr>
                <w:ilvl w:val="0"/>
                <w:numId w:val="0"/>
              </w:numPr>
              <w:spacing w:line="360" w:lineRule="auto"/>
              <w:rPr>
                <w:rFonts w:hint="eastAsia" w:ascii="宋体" w:hAnsi="宋体" w:eastAsia="宋体" w:cs="宋体"/>
                <w:b w:val="0"/>
                <w:bCs/>
                <w:kern w:val="2"/>
                <w:sz w:val="21"/>
                <w:szCs w:val="21"/>
                <w:highlight w:val="none"/>
                <w:vertAlign w:val="baseline"/>
                <w:lang w:val="en-US" w:eastAsia="zh-CN" w:bidi="ar-SA"/>
              </w:rPr>
            </w:pPr>
          </w:p>
        </w:tc>
        <w:tc>
          <w:tcPr>
            <w:tcW w:w="588" w:type="dxa"/>
            <w:vAlign w:val="center"/>
          </w:tcPr>
          <w:p>
            <w:pPr>
              <w:spacing w:beforeLines="0" w:afterLines="0"/>
              <w:jc w:val="center"/>
              <w:rPr>
                <w:rFonts w:hint="eastAsia" w:ascii="宋体" w:hAnsi="宋体" w:eastAsia="宋体" w:cs="宋体"/>
                <w:b w:val="0"/>
                <w:bCs/>
                <w:kern w:val="2"/>
                <w:sz w:val="21"/>
                <w:szCs w:val="21"/>
                <w:highlight w:val="none"/>
                <w:vertAlign w:val="baseline"/>
                <w:lang w:val="en-US" w:eastAsia="zh-CN" w:bidi="ar-SA"/>
              </w:rPr>
            </w:pPr>
            <w:r>
              <w:rPr>
                <w:rFonts w:hint="eastAsia" w:ascii="宋体" w:hAnsi="宋体" w:eastAsia="宋体" w:cs="宋体"/>
                <w:sz w:val="21"/>
                <w:szCs w:val="21"/>
                <w:highlight w:val="none"/>
              </w:rPr>
              <w:t>6</w:t>
            </w:r>
          </w:p>
        </w:tc>
        <w:tc>
          <w:tcPr>
            <w:tcW w:w="4720" w:type="dxa"/>
            <w:vAlign w:val="center"/>
          </w:tcPr>
          <w:p>
            <w:pPr>
              <w:spacing w:beforeLines="0" w:afterLines="0"/>
              <w:rPr>
                <w:rFonts w:hint="eastAsia" w:ascii="宋体" w:hAnsi="宋体" w:eastAsia="宋体" w:cs="宋体"/>
                <w:b w:val="0"/>
                <w:bCs/>
                <w:kern w:val="2"/>
                <w:sz w:val="21"/>
                <w:szCs w:val="21"/>
                <w:highlight w:val="none"/>
                <w:vertAlign w:val="baseline"/>
                <w:lang w:val="en-US" w:eastAsia="zh-CN" w:bidi="ar-SA"/>
              </w:rPr>
            </w:pPr>
            <w:r>
              <w:rPr>
                <w:rFonts w:hint="eastAsia" w:ascii="宋体" w:hAnsi="宋体" w:eastAsia="宋体" w:cs="宋体"/>
                <w:sz w:val="21"/>
                <w:szCs w:val="21"/>
                <w:highlight w:val="none"/>
              </w:rPr>
              <w:t>电梯轿厢内应设置报警装置，且固定可靠、保持畅通；</w:t>
            </w:r>
          </w:p>
        </w:tc>
        <w:tc>
          <w:tcPr>
            <w:tcW w:w="542" w:type="dxa"/>
            <w:vAlign w:val="center"/>
          </w:tcPr>
          <w:p>
            <w:pPr>
              <w:spacing w:beforeLines="0" w:afterLines="0"/>
              <w:jc w:val="center"/>
              <w:rPr>
                <w:rFonts w:hint="eastAsia" w:ascii="宋体" w:hAnsi="宋体" w:eastAsia="宋体" w:cs="宋体"/>
                <w:b w:val="0"/>
                <w:bCs/>
                <w:kern w:val="2"/>
                <w:sz w:val="21"/>
                <w:szCs w:val="21"/>
                <w:highlight w:val="none"/>
                <w:vertAlign w:val="baseline"/>
                <w:lang w:val="en-US" w:eastAsia="zh-CN" w:bidi="ar-SA"/>
              </w:rPr>
            </w:pPr>
            <w:r>
              <w:rPr>
                <w:rFonts w:hint="eastAsia" w:ascii="宋体" w:hAnsi="宋体" w:eastAsia="宋体" w:cs="宋体"/>
                <w:sz w:val="21"/>
                <w:szCs w:val="21"/>
                <w:highlight w:val="none"/>
              </w:rPr>
              <w:t>3</w:t>
            </w:r>
          </w:p>
        </w:tc>
        <w:tc>
          <w:tcPr>
            <w:tcW w:w="1211" w:type="dxa"/>
          </w:tcPr>
          <w:p>
            <w:pPr>
              <w:numPr>
                <w:ilvl w:val="0"/>
                <w:numId w:val="0"/>
              </w:numPr>
              <w:spacing w:line="360" w:lineRule="auto"/>
              <w:rPr>
                <w:rFonts w:hint="eastAsia" w:ascii="宋体" w:hAnsi="宋体" w:eastAsia="宋体" w:cs="宋体"/>
                <w:b w:val="0"/>
                <w:bCs/>
                <w:kern w:val="2"/>
                <w:sz w:val="21"/>
                <w:szCs w:val="21"/>
                <w:highlight w:val="none"/>
                <w:vertAlign w:val="baseline"/>
                <w:lang w:val="en-US" w:eastAsia="zh-CN" w:bidi="ar-SA"/>
              </w:rPr>
            </w:pPr>
          </w:p>
        </w:tc>
        <w:tc>
          <w:tcPr>
            <w:tcW w:w="1062" w:type="dxa"/>
          </w:tcPr>
          <w:p>
            <w:pPr>
              <w:numPr>
                <w:ilvl w:val="0"/>
                <w:numId w:val="0"/>
              </w:numPr>
              <w:spacing w:line="360" w:lineRule="auto"/>
              <w:rPr>
                <w:rFonts w:hint="eastAsia" w:ascii="宋体" w:hAnsi="宋体" w:eastAsia="宋体" w:cs="宋体"/>
                <w:b w:val="0"/>
                <w:bCs/>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tcPr>
          <w:p>
            <w:pPr>
              <w:numPr>
                <w:ilvl w:val="0"/>
                <w:numId w:val="0"/>
              </w:numPr>
              <w:spacing w:line="360" w:lineRule="auto"/>
              <w:rPr>
                <w:rFonts w:hint="eastAsia" w:ascii="宋体" w:hAnsi="宋体" w:eastAsia="宋体" w:cs="宋体"/>
                <w:b w:val="0"/>
                <w:bCs/>
                <w:kern w:val="2"/>
                <w:sz w:val="21"/>
                <w:szCs w:val="21"/>
                <w:highlight w:val="none"/>
                <w:vertAlign w:val="baseline"/>
                <w:lang w:val="en-US" w:eastAsia="zh-CN" w:bidi="ar-SA"/>
              </w:rPr>
            </w:pPr>
          </w:p>
        </w:tc>
        <w:tc>
          <w:tcPr>
            <w:tcW w:w="588" w:type="dxa"/>
            <w:vAlign w:val="center"/>
          </w:tcPr>
          <w:p>
            <w:pPr>
              <w:spacing w:beforeLines="0" w:afterLines="0"/>
              <w:jc w:val="center"/>
              <w:rPr>
                <w:rFonts w:hint="eastAsia" w:ascii="宋体" w:hAnsi="宋体" w:eastAsia="宋体" w:cs="宋体"/>
                <w:b w:val="0"/>
                <w:bCs/>
                <w:kern w:val="2"/>
                <w:sz w:val="21"/>
                <w:szCs w:val="21"/>
                <w:highlight w:val="none"/>
                <w:vertAlign w:val="baseline"/>
                <w:lang w:val="en-US" w:eastAsia="zh-CN" w:bidi="ar-SA"/>
              </w:rPr>
            </w:pPr>
            <w:r>
              <w:rPr>
                <w:rFonts w:hint="eastAsia" w:ascii="宋体" w:hAnsi="宋体" w:eastAsia="宋体" w:cs="宋体"/>
                <w:sz w:val="21"/>
                <w:szCs w:val="21"/>
                <w:highlight w:val="none"/>
              </w:rPr>
              <w:t>7</w:t>
            </w:r>
          </w:p>
        </w:tc>
        <w:tc>
          <w:tcPr>
            <w:tcW w:w="4720" w:type="dxa"/>
            <w:vAlign w:val="center"/>
          </w:tcPr>
          <w:p>
            <w:pPr>
              <w:spacing w:beforeLines="0" w:afterLines="0"/>
              <w:rPr>
                <w:rFonts w:hint="eastAsia" w:ascii="宋体" w:hAnsi="宋体" w:eastAsia="宋体" w:cs="宋体"/>
                <w:b w:val="0"/>
                <w:bCs/>
                <w:kern w:val="2"/>
                <w:sz w:val="21"/>
                <w:szCs w:val="21"/>
                <w:highlight w:val="none"/>
                <w:vertAlign w:val="baseline"/>
                <w:lang w:val="en-US" w:eastAsia="zh-CN" w:bidi="ar-SA"/>
              </w:rPr>
            </w:pPr>
            <w:r>
              <w:rPr>
                <w:rFonts w:hint="eastAsia" w:ascii="宋体" w:hAnsi="宋体" w:eastAsia="宋体" w:cs="宋体"/>
                <w:sz w:val="21"/>
                <w:szCs w:val="21"/>
                <w:highlight w:val="none"/>
              </w:rPr>
              <w:t>乙方是否张贴乘用电梯安全须知、维保单位名称和急修、投诉电话应置于轿厢的显著位置；</w:t>
            </w:r>
          </w:p>
        </w:tc>
        <w:tc>
          <w:tcPr>
            <w:tcW w:w="542" w:type="dxa"/>
            <w:vAlign w:val="center"/>
          </w:tcPr>
          <w:p>
            <w:pPr>
              <w:spacing w:beforeLines="0" w:afterLines="0"/>
              <w:jc w:val="center"/>
              <w:rPr>
                <w:rFonts w:hint="eastAsia" w:ascii="宋体" w:hAnsi="宋体" w:eastAsia="宋体" w:cs="宋体"/>
                <w:b w:val="0"/>
                <w:bCs/>
                <w:kern w:val="2"/>
                <w:sz w:val="21"/>
                <w:szCs w:val="21"/>
                <w:highlight w:val="none"/>
                <w:vertAlign w:val="baseline"/>
                <w:lang w:val="en-US" w:eastAsia="zh-CN" w:bidi="ar-SA"/>
              </w:rPr>
            </w:pPr>
            <w:r>
              <w:rPr>
                <w:rFonts w:hint="eastAsia" w:ascii="宋体" w:hAnsi="宋体" w:eastAsia="宋体" w:cs="宋体"/>
                <w:sz w:val="21"/>
                <w:szCs w:val="21"/>
                <w:highlight w:val="none"/>
              </w:rPr>
              <w:t>3</w:t>
            </w:r>
          </w:p>
        </w:tc>
        <w:tc>
          <w:tcPr>
            <w:tcW w:w="1211" w:type="dxa"/>
          </w:tcPr>
          <w:p>
            <w:pPr>
              <w:numPr>
                <w:ilvl w:val="0"/>
                <w:numId w:val="0"/>
              </w:numPr>
              <w:spacing w:line="360" w:lineRule="auto"/>
              <w:rPr>
                <w:rFonts w:hint="eastAsia" w:ascii="宋体" w:hAnsi="宋体" w:eastAsia="宋体" w:cs="宋体"/>
                <w:b w:val="0"/>
                <w:bCs/>
                <w:kern w:val="2"/>
                <w:sz w:val="21"/>
                <w:szCs w:val="21"/>
                <w:highlight w:val="none"/>
                <w:vertAlign w:val="baseline"/>
                <w:lang w:val="en-US" w:eastAsia="zh-CN" w:bidi="ar-SA"/>
              </w:rPr>
            </w:pPr>
          </w:p>
        </w:tc>
        <w:tc>
          <w:tcPr>
            <w:tcW w:w="1062" w:type="dxa"/>
          </w:tcPr>
          <w:p>
            <w:pPr>
              <w:numPr>
                <w:ilvl w:val="0"/>
                <w:numId w:val="0"/>
              </w:numPr>
              <w:spacing w:line="360" w:lineRule="auto"/>
              <w:rPr>
                <w:rFonts w:hint="eastAsia" w:ascii="宋体" w:hAnsi="宋体" w:eastAsia="宋体" w:cs="宋体"/>
                <w:b w:val="0"/>
                <w:bCs/>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tcPr>
          <w:p>
            <w:pPr>
              <w:numPr>
                <w:ilvl w:val="0"/>
                <w:numId w:val="0"/>
              </w:numPr>
              <w:spacing w:line="360" w:lineRule="auto"/>
              <w:rPr>
                <w:rFonts w:hint="eastAsia" w:ascii="宋体" w:hAnsi="宋体" w:eastAsia="宋体" w:cs="宋体"/>
                <w:b w:val="0"/>
                <w:bCs/>
                <w:kern w:val="2"/>
                <w:sz w:val="21"/>
                <w:szCs w:val="21"/>
                <w:highlight w:val="none"/>
                <w:vertAlign w:val="baseline"/>
                <w:lang w:val="en-US" w:eastAsia="zh-CN" w:bidi="ar-SA"/>
              </w:rPr>
            </w:pPr>
          </w:p>
        </w:tc>
        <w:tc>
          <w:tcPr>
            <w:tcW w:w="588" w:type="dxa"/>
            <w:vAlign w:val="center"/>
          </w:tcPr>
          <w:p>
            <w:pPr>
              <w:spacing w:beforeLines="0" w:afterLines="0"/>
              <w:jc w:val="center"/>
              <w:rPr>
                <w:rFonts w:hint="eastAsia" w:ascii="宋体" w:hAnsi="宋体" w:eastAsia="宋体" w:cs="宋体"/>
                <w:b w:val="0"/>
                <w:bCs/>
                <w:kern w:val="2"/>
                <w:sz w:val="21"/>
                <w:szCs w:val="21"/>
                <w:highlight w:val="none"/>
                <w:vertAlign w:val="baseline"/>
                <w:lang w:val="en-US" w:eastAsia="zh-CN" w:bidi="ar-SA"/>
              </w:rPr>
            </w:pPr>
            <w:r>
              <w:rPr>
                <w:rFonts w:hint="eastAsia" w:ascii="宋体" w:hAnsi="宋体" w:eastAsia="宋体" w:cs="宋体"/>
                <w:sz w:val="21"/>
                <w:szCs w:val="21"/>
                <w:highlight w:val="none"/>
              </w:rPr>
              <w:t>8</w:t>
            </w:r>
          </w:p>
        </w:tc>
        <w:tc>
          <w:tcPr>
            <w:tcW w:w="4720" w:type="dxa"/>
            <w:vAlign w:val="center"/>
          </w:tcPr>
          <w:p>
            <w:pPr>
              <w:spacing w:beforeLines="0" w:afterLines="0"/>
              <w:rPr>
                <w:rFonts w:hint="eastAsia" w:ascii="宋体" w:hAnsi="宋体" w:eastAsia="宋体" w:cs="宋体"/>
                <w:b w:val="0"/>
                <w:bCs/>
                <w:kern w:val="2"/>
                <w:sz w:val="21"/>
                <w:szCs w:val="21"/>
                <w:highlight w:val="none"/>
                <w:vertAlign w:val="baseline"/>
                <w:lang w:val="en-US" w:eastAsia="zh-CN" w:bidi="ar-SA"/>
              </w:rPr>
            </w:pPr>
            <w:r>
              <w:rPr>
                <w:rFonts w:hint="eastAsia" w:ascii="宋体" w:hAnsi="宋体" w:eastAsia="宋体" w:cs="宋体"/>
                <w:sz w:val="21"/>
                <w:szCs w:val="21"/>
                <w:highlight w:val="none"/>
              </w:rPr>
              <w:t>乙方是否在轿厢内贴有维保服务标识牌、检验合格标志且黏贴牢靠；轿内照明良好；应急照明等装置有效；</w:t>
            </w:r>
          </w:p>
        </w:tc>
        <w:tc>
          <w:tcPr>
            <w:tcW w:w="542" w:type="dxa"/>
            <w:vAlign w:val="center"/>
          </w:tcPr>
          <w:p>
            <w:pPr>
              <w:spacing w:beforeLines="0" w:afterLines="0"/>
              <w:jc w:val="center"/>
              <w:rPr>
                <w:rFonts w:hint="eastAsia" w:ascii="宋体" w:hAnsi="宋体" w:eastAsia="宋体" w:cs="宋体"/>
                <w:b w:val="0"/>
                <w:bCs/>
                <w:kern w:val="2"/>
                <w:sz w:val="21"/>
                <w:szCs w:val="21"/>
                <w:highlight w:val="none"/>
                <w:vertAlign w:val="baseline"/>
                <w:lang w:val="en-US" w:eastAsia="zh-CN" w:bidi="ar-SA"/>
              </w:rPr>
            </w:pPr>
            <w:r>
              <w:rPr>
                <w:rFonts w:hint="eastAsia" w:ascii="宋体" w:hAnsi="宋体" w:eastAsia="宋体" w:cs="宋体"/>
                <w:sz w:val="21"/>
                <w:szCs w:val="21"/>
                <w:highlight w:val="none"/>
              </w:rPr>
              <w:t>5</w:t>
            </w:r>
          </w:p>
        </w:tc>
        <w:tc>
          <w:tcPr>
            <w:tcW w:w="1211" w:type="dxa"/>
          </w:tcPr>
          <w:p>
            <w:pPr>
              <w:numPr>
                <w:ilvl w:val="0"/>
                <w:numId w:val="0"/>
              </w:numPr>
              <w:spacing w:line="360" w:lineRule="auto"/>
              <w:rPr>
                <w:rFonts w:hint="eastAsia" w:ascii="宋体" w:hAnsi="宋体" w:eastAsia="宋体" w:cs="宋体"/>
                <w:b w:val="0"/>
                <w:bCs/>
                <w:kern w:val="2"/>
                <w:sz w:val="21"/>
                <w:szCs w:val="21"/>
                <w:highlight w:val="none"/>
                <w:vertAlign w:val="baseline"/>
                <w:lang w:val="en-US" w:eastAsia="zh-CN" w:bidi="ar-SA"/>
              </w:rPr>
            </w:pPr>
          </w:p>
        </w:tc>
        <w:tc>
          <w:tcPr>
            <w:tcW w:w="1062" w:type="dxa"/>
          </w:tcPr>
          <w:p>
            <w:pPr>
              <w:numPr>
                <w:ilvl w:val="0"/>
                <w:numId w:val="0"/>
              </w:numPr>
              <w:spacing w:line="360" w:lineRule="auto"/>
              <w:rPr>
                <w:rFonts w:hint="eastAsia" w:ascii="宋体" w:hAnsi="宋体" w:eastAsia="宋体" w:cs="宋体"/>
                <w:b w:val="0"/>
                <w:bCs/>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c>
          <w:tcPr>
            <w:tcW w:w="588" w:type="dxa"/>
            <w:vAlign w:val="center"/>
          </w:tcPr>
          <w:p>
            <w:pPr>
              <w:spacing w:beforeLines="0" w:afterLines="0"/>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9</w:t>
            </w:r>
          </w:p>
        </w:tc>
        <w:tc>
          <w:tcPr>
            <w:tcW w:w="4720" w:type="dxa"/>
            <w:vAlign w:val="center"/>
          </w:tcPr>
          <w:p>
            <w:pPr>
              <w:spacing w:beforeLines="0" w:afterLines="0"/>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乙方是否能果断及时处置突发事件，保障电梯安全运行；</w:t>
            </w:r>
          </w:p>
        </w:tc>
        <w:tc>
          <w:tcPr>
            <w:tcW w:w="542" w:type="dxa"/>
            <w:vAlign w:val="center"/>
          </w:tcPr>
          <w:p>
            <w:pPr>
              <w:spacing w:beforeLines="0" w:afterLines="0"/>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4</w:t>
            </w:r>
          </w:p>
        </w:tc>
        <w:tc>
          <w:tcPr>
            <w:tcW w:w="1211" w:type="dxa"/>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c>
          <w:tcPr>
            <w:tcW w:w="1062" w:type="dxa"/>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c>
          <w:tcPr>
            <w:tcW w:w="588" w:type="dxa"/>
            <w:vAlign w:val="center"/>
          </w:tcPr>
          <w:p>
            <w:pPr>
              <w:spacing w:beforeLines="0" w:afterLines="0"/>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10</w:t>
            </w:r>
          </w:p>
        </w:tc>
        <w:tc>
          <w:tcPr>
            <w:tcW w:w="4720" w:type="dxa"/>
            <w:vAlign w:val="center"/>
          </w:tcPr>
          <w:p>
            <w:pPr>
              <w:spacing w:beforeLines="0" w:afterLines="0"/>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乙方是否能及时准确更新维保人员信息资料；</w:t>
            </w:r>
          </w:p>
        </w:tc>
        <w:tc>
          <w:tcPr>
            <w:tcW w:w="542" w:type="dxa"/>
            <w:vAlign w:val="center"/>
          </w:tcPr>
          <w:p>
            <w:pPr>
              <w:spacing w:beforeLines="0" w:afterLines="0"/>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3</w:t>
            </w:r>
          </w:p>
        </w:tc>
        <w:tc>
          <w:tcPr>
            <w:tcW w:w="1211" w:type="dxa"/>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c>
          <w:tcPr>
            <w:tcW w:w="1062" w:type="dxa"/>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c>
          <w:tcPr>
            <w:tcW w:w="588" w:type="dxa"/>
            <w:vAlign w:val="center"/>
          </w:tcPr>
          <w:p>
            <w:pPr>
              <w:spacing w:beforeLines="0" w:afterLines="0"/>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11</w:t>
            </w:r>
          </w:p>
        </w:tc>
        <w:tc>
          <w:tcPr>
            <w:tcW w:w="4720" w:type="dxa"/>
            <w:vAlign w:val="center"/>
          </w:tcPr>
          <w:p>
            <w:pPr>
              <w:spacing w:beforeLines="0" w:afterLines="0"/>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维保人员是否能自觉遵守岗位管理工作纪律；</w:t>
            </w:r>
          </w:p>
        </w:tc>
        <w:tc>
          <w:tcPr>
            <w:tcW w:w="542" w:type="dxa"/>
            <w:vAlign w:val="center"/>
          </w:tcPr>
          <w:p>
            <w:pPr>
              <w:spacing w:beforeLines="0" w:afterLines="0"/>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3</w:t>
            </w:r>
          </w:p>
        </w:tc>
        <w:tc>
          <w:tcPr>
            <w:tcW w:w="1211" w:type="dxa"/>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c>
          <w:tcPr>
            <w:tcW w:w="1062" w:type="dxa"/>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c>
          <w:tcPr>
            <w:tcW w:w="588" w:type="dxa"/>
            <w:vAlign w:val="center"/>
          </w:tcPr>
          <w:p>
            <w:pPr>
              <w:spacing w:beforeLines="0" w:afterLines="0"/>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12</w:t>
            </w:r>
          </w:p>
        </w:tc>
        <w:tc>
          <w:tcPr>
            <w:tcW w:w="4720" w:type="dxa"/>
            <w:vAlign w:val="center"/>
          </w:tcPr>
          <w:p>
            <w:pPr>
              <w:spacing w:beforeLines="0" w:afterLines="0"/>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乙方维保记录、故障检查记录填写真实，签字齐全，保存完好；</w:t>
            </w:r>
          </w:p>
        </w:tc>
        <w:tc>
          <w:tcPr>
            <w:tcW w:w="542" w:type="dxa"/>
            <w:vAlign w:val="center"/>
          </w:tcPr>
          <w:p>
            <w:pPr>
              <w:spacing w:beforeLines="0" w:afterLines="0"/>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7</w:t>
            </w:r>
          </w:p>
        </w:tc>
        <w:tc>
          <w:tcPr>
            <w:tcW w:w="1211" w:type="dxa"/>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c>
          <w:tcPr>
            <w:tcW w:w="1062" w:type="dxa"/>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c>
          <w:tcPr>
            <w:tcW w:w="588" w:type="dxa"/>
            <w:vAlign w:val="center"/>
          </w:tcPr>
          <w:p>
            <w:pPr>
              <w:spacing w:beforeLines="0" w:afterLines="0"/>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13</w:t>
            </w:r>
          </w:p>
        </w:tc>
        <w:tc>
          <w:tcPr>
            <w:tcW w:w="4720" w:type="dxa"/>
            <w:vAlign w:val="center"/>
          </w:tcPr>
          <w:p>
            <w:pPr>
              <w:spacing w:beforeLines="0" w:afterLines="0"/>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困人事故接到通知后10分钟内赶到现场实施紧急救援，30分钟内完成解救人员；</w:t>
            </w:r>
          </w:p>
        </w:tc>
        <w:tc>
          <w:tcPr>
            <w:tcW w:w="542" w:type="dxa"/>
            <w:vAlign w:val="center"/>
          </w:tcPr>
          <w:p>
            <w:pPr>
              <w:spacing w:beforeLines="0" w:afterLines="0"/>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8</w:t>
            </w:r>
          </w:p>
        </w:tc>
        <w:tc>
          <w:tcPr>
            <w:tcW w:w="1211" w:type="dxa"/>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c>
          <w:tcPr>
            <w:tcW w:w="1062" w:type="dxa"/>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c>
          <w:tcPr>
            <w:tcW w:w="588" w:type="dxa"/>
            <w:vAlign w:val="center"/>
          </w:tcPr>
          <w:p>
            <w:pPr>
              <w:spacing w:beforeLines="0" w:afterLines="0"/>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14</w:t>
            </w:r>
          </w:p>
        </w:tc>
        <w:tc>
          <w:tcPr>
            <w:tcW w:w="4720" w:type="dxa"/>
            <w:vAlign w:val="center"/>
          </w:tcPr>
          <w:p>
            <w:pPr>
              <w:spacing w:beforeLines="0" w:afterLines="0"/>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乙方每次维保时，有2人参与工作，并放置好安全护栏。</w:t>
            </w:r>
          </w:p>
        </w:tc>
        <w:tc>
          <w:tcPr>
            <w:tcW w:w="542" w:type="dxa"/>
            <w:vAlign w:val="center"/>
          </w:tcPr>
          <w:p>
            <w:pPr>
              <w:spacing w:beforeLines="0" w:afterLines="0"/>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4</w:t>
            </w:r>
          </w:p>
        </w:tc>
        <w:tc>
          <w:tcPr>
            <w:tcW w:w="1211" w:type="dxa"/>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c>
          <w:tcPr>
            <w:tcW w:w="1062" w:type="dxa"/>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restart"/>
            <w:vAlign w:val="center"/>
          </w:tcPr>
          <w:p>
            <w:pPr>
              <w:numPr>
                <w:ilvl w:val="0"/>
                <w:numId w:val="0"/>
              </w:numPr>
              <w:spacing w:line="360" w:lineRule="auto"/>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安全责任与纪律执行情况</w:t>
            </w:r>
          </w:p>
        </w:tc>
        <w:tc>
          <w:tcPr>
            <w:tcW w:w="588" w:type="dxa"/>
            <w:vAlign w:val="center"/>
          </w:tcPr>
          <w:p>
            <w:pPr>
              <w:spacing w:beforeLines="0" w:afterLines="0"/>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1</w:t>
            </w:r>
          </w:p>
        </w:tc>
        <w:tc>
          <w:tcPr>
            <w:tcW w:w="4720" w:type="dxa"/>
            <w:vAlign w:val="center"/>
          </w:tcPr>
          <w:p>
            <w:pPr>
              <w:spacing w:beforeLines="0" w:afterLines="0"/>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无安全事故，没有因疏忽、大意或处理不当而发生安全问题，导致甲方管理场所范围内有人员伤亡；</w:t>
            </w:r>
          </w:p>
        </w:tc>
        <w:tc>
          <w:tcPr>
            <w:tcW w:w="542" w:type="dxa"/>
            <w:vAlign w:val="center"/>
          </w:tcPr>
          <w:p>
            <w:pPr>
              <w:spacing w:beforeLines="0" w:afterLines="0"/>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8</w:t>
            </w:r>
          </w:p>
        </w:tc>
        <w:tc>
          <w:tcPr>
            <w:tcW w:w="1211" w:type="dxa"/>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c>
          <w:tcPr>
            <w:tcW w:w="1062" w:type="dxa"/>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c>
          <w:tcPr>
            <w:tcW w:w="588" w:type="dxa"/>
            <w:vAlign w:val="center"/>
          </w:tcPr>
          <w:p>
            <w:pPr>
              <w:spacing w:beforeLines="0" w:afterLines="0"/>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2</w:t>
            </w:r>
          </w:p>
        </w:tc>
        <w:tc>
          <w:tcPr>
            <w:tcW w:w="4720" w:type="dxa"/>
            <w:vAlign w:val="center"/>
          </w:tcPr>
          <w:p>
            <w:pPr>
              <w:spacing w:beforeLines="0" w:afterLines="0"/>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实施维保作业的现场应在明显位置放置表明正在作业的警示标志及安全护栏；</w:t>
            </w:r>
          </w:p>
        </w:tc>
        <w:tc>
          <w:tcPr>
            <w:tcW w:w="542" w:type="dxa"/>
            <w:vAlign w:val="center"/>
          </w:tcPr>
          <w:p>
            <w:pPr>
              <w:spacing w:beforeLines="0" w:afterLines="0"/>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3</w:t>
            </w:r>
          </w:p>
        </w:tc>
        <w:tc>
          <w:tcPr>
            <w:tcW w:w="1211" w:type="dxa"/>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c>
          <w:tcPr>
            <w:tcW w:w="1062" w:type="dxa"/>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c>
          <w:tcPr>
            <w:tcW w:w="588" w:type="dxa"/>
            <w:vAlign w:val="center"/>
          </w:tcPr>
          <w:p>
            <w:pPr>
              <w:spacing w:beforeLines="0" w:afterLines="0"/>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3</w:t>
            </w:r>
          </w:p>
        </w:tc>
        <w:tc>
          <w:tcPr>
            <w:tcW w:w="4720" w:type="dxa"/>
            <w:vAlign w:val="center"/>
          </w:tcPr>
          <w:p>
            <w:pPr>
              <w:spacing w:beforeLines="0" w:afterLines="0"/>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严格按照生产设备安全操作规程执行，没有造成甲方设备设施的损毁；</w:t>
            </w:r>
          </w:p>
        </w:tc>
        <w:tc>
          <w:tcPr>
            <w:tcW w:w="542" w:type="dxa"/>
            <w:vAlign w:val="center"/>
          </w:tcPr>
          <w:p>
            <w:pPr>
              <w:spacing w:beforeLines="0" w:afterLines="0"/>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2</w:t>
            </w:r>
          </w:p>
        </w:tc>
        <w:tc>
          <w:tcPr>
            <w:tcW w:w="1211" w:type="dxa"/>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c>
          <w:tcPr>
            <w:tcW w:w="1062" w:type="dxa"/>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c>
          <w:tcPr>
            <w:tcW w:w="588" w:type="dxa"/>
            <w:vAlign w:val="center"/>
          </w:tcPr>
          <w:p>
            <w:pPr>
              <w:spacing w:beforeLines="0" w:afterLines="0"/>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4</w:t>
            </w:r>
          </w:p>
        </w:tc>
        <w:tc>
          <w:tcPr>
            <w:tcW w:w="4720" w:type="dxa"/>
            <w:vAlign w:val="center"/>
          </w:tcPr>
          <w:p>
            <w:pPr>
              <w:spacing w:beforeLines="0" w:afterLines="0"/>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自觉遵守甲方管理场所各项规章制度。</w:t>
            </w:r>
          </w:p>
        </w:tc>
        <w:tc>
          <w:tcPr>
            <w:tcW w:w="542" w:type="dxa"/>
            <w:vAlign w:val="center"/>
          </w:tcPr>
          <w:p>
            <w:pPr>
              <w:spacing w:beforeLines="0" w:afterLines="0"/>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2</w:t>
            </w:r>
          </w:p>
        </w:tc>
        <w:tc>
          <w:tcPr>
            <w:tcW w:w="1211" w:type="dxa"/>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c>
          <w:tcPr>
            <w:tcW w:w="1062" w:type="dxa"/>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restart"/>
            <w:vAlign w:val="center"/>
          </w:tcPr>
          <w:p>
            <w:pPr>
              <w:numPr>
                <w:ilvl w:val="0"/>
                <w:numId w:val="0"/>
              </w:numPr>
              <w:spacing w:line="360" w:lineRule="auto"/>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服务态度与职业道德执行情况</w:t>
            </w:r>
          </w:p>
        </w:tc>
        <w:tc>
          <w:tcPr>
            <w:tcW w:w="588" w:type="dxa"/>
            <w:vAlign w:val="center"/>
          </w:tcPr>
          <w:p>
            <w:pPr>
              <w:spacing w:beforeLines="0" w:afterLines="0"/>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1</w:t>
            </w:r>
          </w:p>
        </w:tc>
        <w:tc>
          <w:tcPr>
            <w:tcW w:w="4720" w:type="dxa"/>
            <w:vAlign w:val="center"/>
          </w:tcPr>
          <w:p>
            <w:pPr>
              <w:spacing w:beforeLines="0" w:afterLines="0"/>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乙方工作人员及时发现问题并及时与甲方沟通；</w:t>
            </w:r>
          </w:p>
        </w:tc>
        <w:tc>
          <w:tcPr>
            <w:tcW w:w="542" w:type="dxa"/>
            <w:vAlign w:val="center"/>
          </w:tcPr>
          <w:p>
            <w:pPr>
              <w:spacing w:beforeLines="0" w:afterLines="0"/>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2</w:t>
            </w:r>
          </w:p>
        </w:tc>
        <w:tc>
          <w:tcPr>
            <w:tcW w:w="1211" w:type="dxa"/>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c>
          <w:tcPr>
            <w:tcW w:w="1062" w:type="dxa"/>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c>
          <w:tcPr>
            <w:tcW w:w="588" w:type="dxa"/>
            <w:vAlign w:val="center"/>
          </w:tcPr>
          <w:p>
            <w:pPr>
              <w:spacing w:beforeLines="0" w:afterLines="0"/>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2</w:t>
            </w:r>
          </w:p>
        </w:tc>
        <w:tc>
          <w:tcPr>
            <w:tcW w:w="4720" w:type="dxa"/>
            <w:vAlign w:val="center"/>
          </w:tcPr>
          <w:p>
            <w:pPr>
              <w:spacing w:beforeLines="0" w:afterLines="0"/>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按工作规范为甲方提供服务，无工作延误、隐瞒及虚报现象；</w:t>
            </w:r>
          </w:p>
        </w:tc>
        <w:tc>
          <w:tcPr>
            <w:tcW w:w="542" w:type="dxa"/>
            <w:vAlign w:val="center"/>
          </w:tcPr>
          <w:p>
            <w:pPr>
              <w:spacing w:beforeLines="0" w:afterLines="0"/>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2</w:t>
            </w:r>
          </w:p>
        </w:tc>
        <w:tc>
          <w:tcPr>
            <w:tcW w:w="1211" w:type="dxa"/>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c>
          <w:tcPr>
            <w:tcW w:w="1062" w:type="dxa"/>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c>
          <w:tcPr>
            <w:tcW w:w="588" w:type="dxa"/>
            <w:vAlign w:val="center"/>
          </w:tcPr>
          <w:p>
            <w:pPr>
              <w:spacing w:beforeLines="0" w:afterLines="0"/>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3</w:t>
            </w:r>
          </w:p>
        </w:tc>
        <w:tc>
          <w:tcPr>
            <w:tcW w:w="4720" w:type="dxa"/>
            <w:vAlign w:val="center"/>
          </w:tcPr>
          <w:p>
            <w:pPr>
              <w:spacing w:beforeLines="0" w:afterLines="0"/>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乙方无故意隐瞒投诉，接到投诉能及时向甲方反映情况并解决问题；</w:t>
            </w:r>
          </w:p>
        </w:tc>
        <w:tc>
          <w:tcPr>
            <w:tcW w:w="542" w:type="dxa"/>
            <w:vAlign w:val="center"/>
          </w:tcPr>
          <w:p>
            <w:pPr>
              <w:spacing w:beforeLines="0" w:afterLines="0"/>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2</w:t>
            </w:r>
          </w:p>
        </w:tc>
        <w:tc>
          <w:tcPr>
            <w:tcW w:w="1211" w:type="dxa"/>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c>
          <w:tcPr>
            <w:tcW w:w="1062" w:type="dxa"/>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c>
          <w:tcPr>
            <w:tcW w:w="588" w:type="dxa"/>
            <w:vAlign w:val="center"/>
          </w:tcPr>
          <w:p>
            <w:pPr>
              <w:spacing w:beforeLines="0" w:afterLines="0"/>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4</w:t>
            </w:r>
          </w:p>
        </w:tc>
        <w:tc>
          <w:tcPr>
            <w:tcW w:w="4720" w:type="dxa"/>
            <w:vAlign w:val="center"/>
          </w:tcPr>
          <w:p>
            <w:pPr>
              <w:spacing w:beforeLines="0" w:afterLines="0"/>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乙方服务人员上岗前须经过严格的岗位培训，具有一定的思想品德素质和职业道德；</w:t>
            </w:r>
          </w:p>
        </w:tc>
        <w:tc>
          <w:tcPr>
            <w:tcW w:w="542" w:type="dxa"/>
            <w:vAlign w:val="center"/>
          </w:tcPr>
          <w:p>
            <w:pPr>
              <w:spacing w:beforeLines="0" w:afterLines="0"/>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2</w:t>
            </w:r>
          </w:p>
        </w:tc>
        <w:tc>
          <w:tcPr>
            <w:tcW w:w="1211" w:type="dxa"/>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c>
          <w:tcPr>
            <w:tcW w:w="1062" w:type="dxa"/>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c>
          <w:tcPr>
            <w:tcW w:w="588" w:type="dxa"/>
            <w:vAlign w:val="center"/>
          </w:tcPr>
          <w:p>
            <w:pPr>
              <w:spacing w:beforeLines="0" w:afterLines="0"/>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5</w:t>
            </w:r>
          </w:p>
        </w:tc>
        <w:tc>
          <w:tcPr>
            <w:tcW w:w="4720" w:type="dxa"/>
            <w:vAlign w:val="center"/>
          </w:tcPr>
          <w:p>
            <w:pPr>
              <w:spacing w:beforeLines="0" w:afterLines="0"/>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工作积极主动、及时、到位，正确使用服务用语，提供耐心、周到的服务；</w:t>
            </w:r>
          </w:p>
        </w:tc>
        <w:tc>
          <w:tcPr>
            <w:tcW w:w="542" w:type="dxa"/>
            <w:vAlign w:val="center"/>
          </w:tcPr>
          <w:p>
            <w:pPr>
              <w:spacing w:beforeLines="0" w:afterLines="0"/>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2</w:t>
            </w:r>
          </w:p>
        </w:tc>
        <w:tc>
          <w:tcPr>
            <w:tcW w:w="1211" w:type="dxa"/>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c>
          <w:tcPr>
            <w:tcW w:w="1062" w:type="dxa"/>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c>
          <w:tcPr>
            <w:tcW w:w="588" w:type="dxa"/>
            <w:vAlign w:val="center"/>
          </w:tcPr>
          <w:p>
            <w:pPr>
              <w:spacing w:beforeLines="0" w:afterLines="0"/>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6</w:t>
            </w:r>
          </w:p>
        </w:tc>
        <w:tc>
          <w:tcPr>
            <w:tcW w:w="4720" w:type="dxa"/>
            <w:vAlign w:val="center"/>
          </w:tcPr>
          <w:p>
            <w:pPr>
              <w:spacing w:beforeLines="0" w:afterLines="0"/>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与甲方管理人员保持良好的沟通联系，及时解决工作中出现的问题；</w:t>
            </w:r>
          </w:p>
        </w:tc>
        <w:tc>
          <w:tcPr>
            <w:tcW w:w="542" w:type="dxa"/>
            <w:vAlign w:val="center"/>
          </w:tcPr>
          <w:p>
            <w:pPr>
              <w:spacing w:beforeLines="0" w:afterLines="0"/>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2</w:t>
            </w:r>
          </w:p>
        </w:tc>
        <w:tc>
          <w:tcPr>
            <w:tcW w:w="1211" w:type="dxa"/>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c>
          <w:tcPr>
            <w:tcW w:w="1062" w:type="dxa"/>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5" w:type="dxa"/>
            <w:vMerge w:val="continue"/>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c>
          <w:tcPr>
            <w:tcW w:w="588" w:type="dxa"/>
            <w:vAlign w:val="center"/>
          </w:tcPr>
          <w:p>
            <w:pPr>
              <w:spacing w:beforeLines="0" w:afterLines="0"/>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7</w:t>
            </w:r>
          </w:p>
        </w:tc>
        <w:tc>
          <w:tcPr>
            <w:tcW w:w="4720" w:type="dxa"/>
            <w:vAlign w:val="center"/>
          </w:tcPr>
          <w:p>
            <w:pPr>
              <w:spacing w:beforeLines="0" w:afterLines="0"/>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乙方应确保服务质量，服务态度好，无人员举报、投诉或纠纷。</w:t>
            </w:r>
          </w:p>
        </w:tc>
        <w:tc>
          <w:tcPr>
            <w:tcW w:w="542" w:type="dxa"/>
            <w:vAlign w:val="center"/>
          </w:tcPr>
          <w:p>
            <w:pPr>
              <w:spacing w:beforeLines="0" w:afterLines="0"/>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sz w:val="21"/>
                <w:szCs w:val="21"/>
              </w:rPr>
              <w:t>5</w:t>
            </w:r>
          </w:p>
        </w:tc>
        <w:tc>
          <w:tcPr>
            <w:tcW w:w="1211" w:type="dxa"/>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c>
          <w:tcPr>
            <w:tcW w:w="1062" w:type="dxa"/>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3" w:type="dxa"/>
            <w:gridSpan w:val="3"/>
          </w:tcPr>
          <w:p>
            <w:pPr>
              <w:numPr>
                <w:ilvl w:val="0"/>
                <w:numId w:val="0"/>
              </w:numPr>
              <w:spacing w:line="360" w:lineRule="auto"/>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合计</w:t>
            </w:r>
          </w:p>
        </w:tc>
        <w:tc>
          <w:tcPr>
            <w:tcW w:w="542" w:type="dxa"/>
          </w:tcPr>
          <w:p>
            <w:pPr>
              <w:numPr>
                <w:ilvl w:val="0"/>
                <w:numId w:val="0"/>
              </w:numPr>
              <w:spacing w:line="360" w:lineRule="auto"/>
              <w:rPr>
                <w:rFonts w:hint="default"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100</w:t>
            </w:r>
          </w:p>
        </w:tc>
        <w:tc>
          <w:tcPr>
            <w:tcW w:w="1211" w:type="dxa"/>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c>
          <w:tcPr>
            <w:tcW w:w="1062" w:type="dxa"/>
          </w:tcPr>
          <w:p>
            <w:pPr>
              <w:numPr>
                <w:ilvl w:val="0"/>
                <w:numId w:val="0"/>
              </w:numPr>
              <w:spacing w:line="360" w:lineRule="auto"/>
              <w:rPr>
                <w:rFonts w:hint="eastAsia" w:ascii="宋体" w:hAnsi="宋体" w:eastAsia="宋体" w:cs="宋体"/>
                <w:b w:val="0"/>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3" w:type="dxa"/>
            <w:gridSpan w:val="2"/>
            <w:vAlign w:val="center"/>
          </w:tcPr>
          <w:p>
            <w:pPr>
              <w:numPr>
                <w:ilvl w:val="0"/>
                <w:numId w:val="0"/>
              </w:numPr>
              <w:spacing w:line="360" w:lineRule="auto"/>
              <w:jc w:val="center"/>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备注</w:t>
            </w:r>
          </w:p>
        </w:tc>
        <w:tc>
          <w:tcPr>
            <w:tcW w:w="7535" w:type="dxa"/>
            <w:gridSpan w:val="4"/>
          </w:tcPr>
          <w:p>
            <w:pPr>
              <w:numPr>
                <w:ilvl w:val="0"/>
                <w:numId w:val="0"/>
              </w:numPr>
              <w:spacing w:line="240" w:lineRule="auto"/>
              <w:rPr>
                <w:rFonts w:hint="eastAsia" w:ascii="宋体" w:hAnsi="宋体" w:eastAsia="宋体" w:cs="宋体"/>
                <w:b w:val="0"/>
                <w:bCs/>
                <w:kern w:val="2"/>
                <w:sz w:val="21"/>
                <w:szCs w:val="21"/>
                <w:vertAlign w:val="baseline"/>
                <w:lang w:val="en-US" w:eastAsia="zh-CN" w:bidi="ar-SA"/>
              </w:rPr>
            </w:pPr>
            <w:r>
              <w:rPr>
                <w:rFonts w:hint="eastAsia" w:ascii="宋体" w:hAnsi="宋体" w:eastAsia="宋体" w:cs="宋体"/>
                <w:b w:val="0"/>
                <w:bCs/>
                <w:kern w:val="2"/>
                <w:sz w:val="21"/>
                <w:szCs w:val="21"/>
                <w:vertAlign w:val="baseline"/>
                <w:lang w:val="en-US" w:eastAsia="zh-CN" w:bidi="ar-SA"/>
              </w:rPr>
              <w:t>每月考核一次，90分（含90分）以上为合格，低于90分每1分扣500元；低于80分可解除合同</w:t>
            </w:r>
          </w:p>
        </w:tc>
      </w:tr>
    </w:tbl>
    <w:p>
      <w:pPr>
        <w:numPr>
          <w:ilvl w:val="0"/>
          <w:numId w:val="0"/>
        </w:numPr>
        <w:spacing w:line="360" w:lineRule="auto"/>
      </w:pPr>
      <w:r>
        <w:rPr>
          <w:rFonts w:hint="eastAsia" w:ascii="宋体" w:hAnsi="宋体" w:eastAsia="宋体" w:cs="宋体"/>
          <w:b w:val="0"/>
          <w:bCs/>
          <w:kern w:val="2"/>
          <w:sz w:val="21"/>
          <w:szCs w:val="21"/>
          <w:lang w:val="en-US" w:eastAsia="zh-CN" w:bidi="ar-SA"/>
        </w:rPr>
        <w:t>考核部门：                                                          维保公司：</w:t>
      </w:r>
    </w:p>
    <w:sectPr>
      <w:footerReference r:id="rId3" w:type="default"/>
      <w:pgSz w:w="11906" w:h="16838"/>
      <w:pgMar w:top="1361" w:right="1304" w:bottom="1361"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1"/>
      </w:pBdr>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一</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一</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ZhZmYxNTI5ZWY4NjEwNWYxYzM2ZWRmMDBmMTEifQ=="/>
  </w:docVars>
  <w:rsids>
    <w:rsidRoot w:val="11B93A73"/>
    <w:rsid w:val="11B93A73"/>
    <w:rsid w:val="2EA3508F"/>
    <w:rsid w:val="48C05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rPr>
      <w:rFonts w:eastAsia="楷体_GB2312"/>
    </w:rPr>
  </w:style>
  <w:style w:type="paragraph" w:styleId="3">
    <w:name w:val="Body Text Indent"/>
    <w:basedOn w:val="1"/>
    <w:next w:val="4"/>
    <w:qFormat/>
    <w:uiPriority w:val="0"/>
    <w:pPr>
      <w:ind w:firstLine="645"/>
    </w:pPr>
    <w:rPr>
      <w:sz w:val="20"/>
    </w:rPr>
  </w:style>
  <w:style w:type="paragraph" w:styleId="4">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5">
    <w:name w:val="Normal Indent"/>
    <w:basedOn w:val="1"/>
    <w:next w:val="1"/>
    <w:qFormat/>
    <w:uiPriority w:val="0"/>
    <w:pPr>
      <w:ind w:firstLine="420"/>
    </w:pPr>
  </w:style>
  <w:style w:type="paragraph" w:styleId="6">
    <w:name w:val="footer"/>
    <w:basedOn w:val="1"/>
    <w:qFormat/>
    <w:uiPriority w:val="0"/>
    <w:pPr>
      <w:tabs>
        <w:tab w:val="center" w:pos="4153"/>
        <w:tab w:val="right" w:pos="8306"/>
      </w:tabs>
      <w:snapToGrid w:val="0"/>
      <w:jc w:val="left"/>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2024-12-10T01:15:00Z</dcterms:created>
  <dc:creator>Miss</dc:creator>
  <cp:lastModifiedBy>Miss</cp:lastModifiedBy>
  <dcterms:modified xsi:type="dcterms:W3CDTF">2024-12-10T01:19:00Z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583AA0F8513B455A8FB341DD8D06A00D_13</vt:lpwstr>
  </property>
</Properties>
</file>