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cs="宋体"/>
          <w:b/>
          <w:kern w:val="2"/>
          <w:sz w:val="32"/>
          <w:szCs w:val="32"/>
          <w:lang w:val="zh-CN" w:eastAsia="zh-CN" w:bidi="ar-SA"/>
        </w:rPr>
      </w:pPr>
      <w:bookmarkStart w:id="2" w:name="_GoBack"/>
      <w:bookmarkEnd w:id="2"/>
      <w:r>
        <w:rPr>
          <w:rFonts w:hint="eastAsia" w:ascii="宋体" w:hAnsi="宋体" w:cs="宋体"/>
          <w:b/>
          <w:kern w:val="2"/>
          <w:sz w:val="32"/>
          <w:szCs w:val="32"/>
          <w:lang w:val="zh-CN" w:eastAsia="zh-CN" w:bidi="ar-SA"/>
        </w:rPr>
        <w:t>采购需求</w:t>
      </w:r>
    </w:p>
    <w:p>
      <w:pPr>
        <w:widowControl/>
        <w:spacing w:line="360" w:lineRule="auto"/>
        <w:ind w:firstLine="420" w:firstLineChars="200"/>
        <w:rPr>
          <w:rFonts w:hint="eastAsia"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highlight w:val="none"/>
          <w:lang w:val="en-US" w:eastAsia="zh-CN"/>
        </w:rPr>
      </w:pPr>
      <w:r>
        <w:rPr>
          <w:rFonts w:hint="eastAsia" w:ascii="宋体" w:hAnsi="宋体" w:cs="宋体"/>
          <w:b/>
          <w:bCs/>
          <w:highlight w:val="none"/>
          <w:lang w:val="en-US" w:eastAsia="zh-CN"/>
        </w:rPr>
        <w:t>投标人中标后在供货范围内按采购人要求的规格、型号供货；投标人中标后须提供与中标耗材配套的相应的配件（应考虑此项费用，采购人不再另行支付）。</w:t>
      </w:r>
    </w:p>
    <w:p>
      <w:pPr>
        <w:widowControl/>
        <w:numPr>
          <w:ilvl w:val="0"/>
          <w:numId w:val="1"/>
        </w:numPr>
        <w:spacing w:line="360" w:lineRule="auto"/>
        <w:ind w:left="210" w:leftChars="0" w:firstLineChars="0"/>
        <w:jc w:val="left"/>
        <w:rPr>
          <w:rFonts w:hint="eastAsia"/>
          <w:b/>
          <w:bCs/>
        </w:rPr>
      </w:pPr>
      <w:r>
        <w:rPr>
          <w:rFonts w:hint="eastAsia"/>
          <w:b/>
          <w:bCs/>
        </w:rPr>
        <w:t>货物需求一览表</w:t>
      </w:r>
    </w:p>
    <w:tbl>
      <w:tblPr>
        <w:tblStyle w:val="8"/>
        <w:tblW w:w="9819" w:type="dxa"/>
        <w:jc w:val="center"/>
        <w:tblLayout w:type="fixed"/>
        <w:tblCellMar>
          <w:top w:w="0" w:type="dxa"/>
          <w:left w:w="108" w:type="dxa"/>
          <w:bottom w:w="0" w:type="dxa"/>
          <w:right w:w="108" w:type="dxa"/>
        </w:tblCellMar>
      </w:tblPr>
      <w:tblGrid>
        <w:gridCol w:w="727"/>
        <w:gridCol w:w="1530"/>
        <w:gridCol w:w="4238"/>
        <w:gridCol w:w="819"/>
        <w:gridCol w:w="691"/>
        <w:gridCol w:w="1118"/>
        <w:gridCol w:w="696"/>
      </w:tblGrid>
      <w:tr>
        <w:tblPrEx>
          <w:tblCellMar>
            <w:top w:w="0" w:type="dxa"/>
            <w:left w:w="108" w:type="dxa"/>
            <w:bottom w:w="0" w:type="dxa"/>
            <w:right w:w="108" w:type="dxa"/>
          </w:tblCellMar>
        </w:tblPrEx>
        <w:trPr>
          <w:trHeight w:val="634" w:hRule="atLeast"/>
          <w:jc w:val="center"/>
        </w:trPr>
        <w:tc>
          <w:tcPr>
            <w:tcW w:w="72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bookmarkStart w:id="0" w:name="_Hlk96158360"/>
            <w:bookmarkStart w:id="1" w:name="_Hlk106267351"/>
            <w:r>
              <w:rPr>
                <w:rFonts w:hint="eastAsia" w:ascii="宋体" w:hAnsi="宋体" w:cs="宋体"/>
                <w:b/>
                <w:bCs/>
                <w:color w:val="000000"/>
                <w:kern w:val="0"/>
                <w:sz w:val="20"/>
                <w:szCs w:val="20"/>
                <w:lang w:val="en-US" w:eastAsia="zh-CN" w:bidi="ar"/>
              </w:rPr>
              <w:t>序</w:t>
            </w:r>
            <w:r>
              <w:rPr>
                <w:rFonts w:hint="eastAsia" w:ascii="宋体" w:hAnsi="宋体" w:eastAsia="宋体" w:cs="宋体"/>
                <w:b/>
                <w:bCs/>
                <w:color w:val="000000"/>
                <w:kern w:val="0"/>
                <w:sz w:val="20"/>
                <w:szCs w:val="20"/>
                <w:lang w:bidi="ar"/>
              </w:rPr>
              <w:t>号</w:t>
            </w:r>
          </w:p>
        </w:tc>
        <w:tc>
          <w:tcPr>
            <w:tcW w:w="153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4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bidi="ar"/>
              </w:rPr>
              <w:t>技术参数</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单位</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使用</w:t>
            </w:r>
            <w:r>
              <w:rPr>
                <w:rFonts w:hint="eastAsia" w:ascii="宋体" w:hAnsi="宋体" w:cs="宋体"/>
                <w:b/>
                <w:bCs/>
                <w:color w:val="000000"/>
                <w:kern w:val="0"/>
                <w:sz w:val="20"/>
                <w:szCs w:val="20"/>
                <w:lang w:val="en-US" w:eastAsia="zh-CN" w:bidi="ar"/>
              </w:rPr>
              <w:t>数</w:t>
            </w:r>
            <w:r>
              <w:rPr>
                <w:rFonts w:hint="eastAsia" w:ascii="宋体" w:hAnsi="宋体" w:eastAsia="宋体" w:cs="宋体"/>
                <w:b/>
                <w:bCs/>
                <w:color w:val="000000"/>
                <w:kern w:val="0"/>
                <w:sz w:val="20"/>
                <w:szCs w:val="20"/>
                <w:lang w:bidi="ar"/>
              </w:rPr>
              <w:t>量</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val="en-US" w:eastAsia="zh-CN" w:bidi="ar"/>
              </w:rPr>
              <w:t>单价最高限价</w:t>
            </w:r>
            <w:r>
              <w:rPr>
                <w:rFonts w:hint="eastAsia" w:ascii="宋体" w:hAnsi="宋体" w:cs="宋体"/>
                <w:b/>
                <w:bCs/>
                <w:color w:val="000000"/>
                <w:kern w:val="0"/>
                <w:sz w:val="20"/>
                <w:szCs w:val="20"/>
                <w:lang w:val="en-US" w:eastAsia="zh-CN" w:bidi="ar"/>
              </w:rPr>
              <w:t>（元）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555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18"/>
                <w:szCs w:val="18"/>
                <w:highlight w:val="none"/>
                <w:lang w:val="en-US" w:eastAsia="zh-CN" w:bidi="ar"/>
              </w:rPr>
            </w:pPr>
            <w:r>
              <w:rPr>
                <w:rFonts w:hint="eastAsia" w:ascii="宋体" w:hAnsi="宋体" w:eastAsia="宋体" w:cs="宋体"/>
                <w:color w:val="000000"/>
                <w:sz w:val="18"/>
                <w:szCs w:val="18"/>
                <w:highlight w:val="none"/>
              </w:rPr>
              <w:t>1</w:t>
            </w:r>
          </w:p>
        </w:tc>
        <w:tc>
          <w:tcPr>
            <w:tcW w:w="1530" w:type="dxa"/>
            <w:tcBorders>
              <w:top w:val="single" w:color="auto" w:sz="4" w:space="0"/>
              <w:left w:val="single" w:color="auto" w:sz="4" w:space="0"/>
              <w:bottom w:val="single" w:color="auto" w:sz="4" w:space="0"/>
              <w:right w:val="single" w:color="auto" w:sz="4" w:space="0"/>
            </w:tcBorders>
            <w:noWrap/>
            <w:vAlign w:val="center"/>
          </w:tcPr>
          <w:p>
            <w:pPr>
              <w:bidi w:val="0"/>
              <w:spacing w:line="360" w:lineRule="auto"/>
              <w:jc w:val="center"/>
              <w:rPr>
                <w:rFonts w:hint="eastAsia" w:ascii="宋体" w:hAnsi="宋体" w:eastAsia="宋体" w:cs="宋体"/>
                <w:sz w:val="20"/>
                <w:szCs w:val="22"/>
                <w:highlight w:val="none"/>
                <w:lang w:val="en-US" w:eastAsia="zh-CN"/>
              </w:rPr>
            </w:pPr>
            <w:r>
              <w:rPr>
                <w:rFonts w:hint="eastAsia" w:ascii="宋体" w:hAnsi="宋体" w:eastAsia="宋体" w:cs="宋体"/>
                <w:sz w:val="20"/>
                <w:szCs w:val="22"/>
                <w:highlight w:val="none"/>
                <w:lang w:val="en-US" w:eastAsia="zh-CN"/>
              </w:rPr>
              <w:t>动态心电图记录盒</w:t>
            </w:r>
          </w:p>
        </w:tc>
        <w:tc>
          <w:tcPr>
            <w:tcW w:w="4238" w:type="dxa"/>
            <w:tcBorders>
              <w:top w:val="single" w:color="000000" w:sz="4" w:space="0"/>
              <w:left w:val="single" w:color="auto" w:sz="4" w:space="0"/>
              <w:right w:val="single" w:color="000000" w:sz="4" w:space="0"/>
            </w:tcBorders>
            <w:noWrap/>
            <w:vAlign w:val="center"/>
          </w:tcPr>
          <w:p>
            <w:pPr>
              <w:bidi w:val="0"/>
              <w:spacing w:line="360" w:lineRule="auto"/>
              <w:jc w:val="left"/>
              <w:rPr>
                <w:rFonts w:hint="eastAsia" w:ascii="宋体" w:hAnsi="宋体" w:eastAsia="宋体" w:cs="宋体"/>
                <w:sz w:val="20"/>
                <w:szCs w:val="22"/>
                <w:highlight w:val="none"/>
                <w:lang w:val="en-US" w:eastAsia="zh-CN"/>
              </w:rPr>
            </w:pPr>
            <w:r>
              <w:rPr>
                <w:rFonts w:hint="eastAsia" w:ascii="宋体" w:hAnsi="宋体" w:eastAsia="宋体" w:cs="宋体"/>
                <w:sz w:val="20"/>
                <w:szCs w:val="22"/>
                <w:highlight w:val="none"/>
                <w:lang w:val="en-US" w:eastAsia="zh-CN"/>
              </w:rPr>
              <w:t>1、12通道，记录时间≧24小时</w:t>
            </w:r>
            <w:r>
              <w:rPr>
                <w:rFonts w:hint="eastAsia" w:ascii="宋体" w:hAnsi="宋体" w:cs="宋体"/>
                <w:sz w:val="20"/>
                <w:szCs w:val="22"/>
                <w:highlight w:val="none"/>
                <w:lang w:val="en-US" w:eastAsia="zh-CN"/>
              </w:rPr>
              <w:t>；</w:t>
            </w:r>
          </w:p>
          <w:p>
            <w:pPr>
              <w:bidi w:val="0"/>
              <w:spacing w:line="360" w:lineRule="auto"/>
              <w:jc w:val="left"/>
              <w:rPr>
                <w:rFonts w:hint="eastAsia" w:ascii="宋体" w:hAnsi="宋体" w:eastAsia="宋体" w:cs="宋体"/>
                <w:sz w:val="20"/>
                <w:szCs w:val="22"/>
                <w:highlight w:val="none"/>
                <w:lang w:val="en-US" w:eastAsia="zh-CN"/>
              </w:rPr>
            </w:pPr>
            <w:r>
              <w:rPr>
                <w:rFonts w:hint="eastAsia" w:ascii="宋体" w:hAnsi="宋体" w:eastAsia="宋体" w:cs="宋体"/>
                <w:sz w:val="20"/>
                <w:szCs w:val="22"/>
                <w:highlight w:val="none"/>
                <w:lang w:val="en-US" w:eastAsia="zh-CN"/>
              </w:rPr>
              <w:t>2、记录器具有独立起搏通道，起搏通道≧10000点/秒采样率，普通心电采集≧4000HZ采样率</w:t>
            </w:r>
            <w:r>
              <w:rPr>
                <w:rFonts w:hint="eastAsia" w:ascii="宋体" w:hAnsi="宋体" w:cs="宋体"/>
                <w:sz w:val="20"/>
                <w:szCs w:val="22"/>
                <w:highlight w:val="none"/>
                <w:lang w:val="en-US" w:eastAsia="zh-CN"/>
              </w:rPr>
              <w:t>；</w:t>
            </w:r>
          </w:p>
          <w:p>
            <w:pPr>
              <w:bidi w:val="0"/>
              <w:spacing w:line="360" w:lineRule="auto"/>
              <w:jc w:val="left"/>
              <w:rPr>
                <w:rFonts w:hint="eastAsia" w:ascii="宋体" w:hAnsi="宋体" w:eastAsia="宋体" w:cs="宋体"/>
                <w:sz w:val="20"/>
                <w:szCs w:val="22"/>
                <w:highlight w:val="none"/>
                <w:lang w:val="en-US" w:eastAsia="zh-CN"/>
              </w:rPr>
            </w:pPr>
            <w:r>
              <w:rPr>
                <w:rFonts w:hint="eastAsia" w:ascii="宋体" w:hAnsi="宋体" w:eastAsia="宋体" w:cs="宋体"/>
                <w:sz w:val="20"/>
                <w:szCs w:val="22"/>
                <w:highlight w:val="none"/>
                <w:lang w:val="en-US" w:eastAsia="zh-CN"/>
              </w:rPr>
              <w:t>3、记录器具有模板分析技术、散点图分析技术、先进的人工智能（AI）分析功能</w:t>
            </w:r>
            <w:r>
              <w:rPr>
                <w:rFonts w:hint="eastAsia" w:ascii="宋体" w:hAnsi="宋体" w:cs="宋体"/>
                <w:sz w:val="20"/>
                <w:szCs w:val="22"/>
                <w:highlight w:val="none"/>
                <w:lang w:val="en-US" w:eastAsia="zh-CN"/>
              </w:rPr>
              <w:t>；</w:t>
            </w:r>
          </w:p>
          <w:p>
            <w:pPr>
              <w:bidi w:val="0"/>
              <w:spacing w:line="360" w:lineRule="auto"/>
              <w:jc w:val="left"/>
              <w:rPr>
                <w:rFonts w:hint="eastAsia" w:ascii="宋体" w:hAnsi="宋体" w:eastAsia="宋体" w:cs="宋体"/>
                <w:sz w:val="20"/>
                <w:szCs w:val="22"/>
                <w:highlight w:val="none"/>
                <w:lang w:val="en-US" w:eastAsia="zh-CN"/>
              </w:rPr>
            </w:pPr>
            <w:r>
              <w:rPr>
                <w:rFonts w:hint="eastAsia" w:ascii="宋体" w:hAnsi="宋体" w:eastAsia="宋体" w:cs="宋体"/>
                <w:sz w:val="20"/>
                <w:szCs w:val="22"/>
                <w:highlight w:val="none"/>
                <w:lang w:val="en-US" w:eastAsia="zh-CN"/>
              </w:rPr>
              <w:t>4、具有心率变异性分析（HRV），窦性心率震荡分析（HRT）、心率减速力分析（DC）等功能</w:t>
            </w:r>
            <w:r>
              <w:rPr>
                <w:rFonts w:hint="eastAsia" w:ascii="宋体" w:hAnsi="宋体" w:cs="宋体"/>
                <w:sz w:val="20"/>
                <w:szCs w:val="22"/>
                <w:highlight w:val="none"/>
                <w:lang w:val="en-US" w:eastAsia="zh-CN"/>
              </w:rPr>
              <w:t>；</w:t>
            </w:r>
          </w:p>
          <w:p>
            <w:pPr>
              <w:bidi w:val="0"/>
              <w:spacing w:line="360" w:lineRule="auto"/>
              <w:jc w:val="left"/>
              <w:rPr>
                <w:rFonts w:hint="eastAsia" w:ascii="宋体" w:hAnsi="宋体" w:eastAsia="宋体" w:cs="宋体"/>
                <w:sz w:val="20"/>
                <w:szCs w:val="22"/>
                <w:highlight w:val="none"/>
                <w:lang w:val="en-US" w:eastAsia="zh-CN"/>
              </w:rPr>
            </w:pPr>
            <w:r>
              <w:rPr>
                <w:rFonts w:hint="eastAsia" w:ascii="宋体" w:hAnsi="宋体" w:eastAsia="宋体" w:cs="宋体"/>
                <w:sz w:val="20"/>
                <w:szCs w:val="22"/>
                <w:highlight w:val="none"/>
                <w:lang w:val="en-US" w:eastAsia="zh-CN"/>
              </w:rPr>
              <w:t>5、具有自动房颤、房扑分析功能，起搏钉自动提取与识别功能</w:t>
            </w:r>
            <w:r>
              <w:rPr>
                <w:rFonts w:hint="eastAsia" w:ascii="宋体" w:hAnsi="宋体" w:cs="宋体"/>
                <w:sz w:val="20"/>
                <w:szCs w:val="22"/>
                <w:highlight w:val="none"/>
                <w:lang w:val="en-US" w:eastAsia="zh-CN"/>
              </w:rPr>
              <w:t>；</w:t>
            </w:r>
          </w:p>
          <w:p>
            <w:pPr>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0"/>
                <w:szCs w:val="22"/>
                <w:highlight w:val="none"/>
                <w:lang w:val="en-US" w:eastAsia="zh-CN"/>
              </w:rPr>
              <w:t>6、支持接入安徽省心电学专科医联体/心电远程诊断平台，支持卫星Holter系统及区域化Holter系统</w:t>
            </w:r>
            <w:r>
              <w:rPr>
                <w:rFonts w:hint="eastAsia" w:ascii="宋体" w:hAnsi="宋体" w:cs="宋体"/>
                <w:sz w:val="20"/>
                <w:szCs w:val="22"/>
                <w:highlight w:val="none"/>
                <w:lang w:val="en-US" w:eastAsia="zh-CN"/>
              </w:rPr>
              <w:t>。</w:t>
            </w:r>
          </w:p>
        </w:tc>
        <w:tc>
          <w:tcPr>
            <w:tcW w:w="819" w:type="dxa"/>
            <w:tcBorders>
              <w:top w:val="single" w:color="000000" w:sz="4" w:space="0"/>
              <w:left w:val="single" w:color="auto" w:sz="4" w:space="0"/>
              <w:right w:val="single" w:color="000000" w:sz="4" w:space="0"/>
            </w:tcBorders>
            <w:noWrap/>
            <w:vAlign w:val="center"/>
          </w:tcPr>
          <w:p>
            <w:pPr>
              <w:widowControl/>
              <w:jc w:val="center"/>
              <w:textAlignment w:val="center"/>
              <w:rPr>
                <w:rFonts w:hint="default" w:ascii="宋体" w:hAnsi="宋体" w:eastAsia="宋体" w:cs="宋体"/>
                <w:sz w:val="24"/>
                <w:szCs w:val="24"/>
                <w:highlight w:val="none"/>
                <w:lang w:val="en-US" w:eastAsia="zh-CN"/>
              </w:rPr>
            </w:pPr>
            <w:r>
              <w:rPr>
                <w:rFonts w:hint="eastAsia" w:ascii="宋体" w:hAnsi="宋体" w:cs="宋体"/>
                <w:sz w:val="20"/>
                <w:szCs w:val="22"/>
                <w:highlight w:val="none"/>
                <w:lang w:val="en-US" w:eastAsia="zh-CN"/>
              </w:rPr>
              <w:t>个</w:t>
            </w:r>
          </w:p>
        </w:tc>
        <w:tc>
          <w:tcPr>
            <w:tcW w:w="691"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default" w:ascii="宋体" w:hAnsi="宋体" w:eastAsia="宋体" w:cs="宋体"/>
                <w:sz w:val="20"/>
                <w:szCs w:val="22"/>
                <w:highlight w:val="none"/>
                <w:lang w:val="en-US" w:eastAsia="zh-CN"/>
              </w:rPr>
            </w:pPr>
            <w:r>
              <w:rPr>
                <w:rFonts w:hint="eastAsia" w:ascii="宋体" w:hAnsi="宋体" w:cs="宋体"/>
                <w:sz w:val="20"/>
                <w:szCs w:val="22"/>
                <w:highlight w:val="none"/>
                <w:lang w:val="en-US" w:eastAsia="zh-CN"/>
              </w:rPr>
              <w:t>4</w:t>
            </w:r>
          </w:p>
        </w:tc>
        <w:tc>
          <w:tcPr>
            <w:tcW w:w="1118"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default" w:ascii="宋体" w:hAnsi="宋体" w:eastAsia="宋体" w:cs="宋体"/>
                <w:sz w:val="20"/>
                <w:szCs w:val="22"/>
                <w:highlight w:val="none"/>
                <w:lang w:val="en-US" w:eastAsia="zh-Hans"/>
              </w:rPr>
            </w:pPr>
            <w:r>
              <w:rPr>
                <w:rFonts w:hint="eastAsia" w:ascii="宋体" w:hAnsi="宋体" w:eastAsia="宋体" w:cs="宋体"/>
                <w:sz w:val="20"/>
                <w:szCs w:val="22"/>
                <w:highlight w:val="none"/>
                <w:lang w:val="en-US" w:eastAsia="zh-CN"/>
              </w:rPr>
              <w:t>20000</w:t>
            </w:r>
          </w:p>
        </w:tc>
        <w:tc>
          <w:tcPr>
            <w:tcW w:w="696"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2"/>
                <w:szCs w:val="22"/>
                <w:highlight w:val="none"/>
                <w:lang w:val="en-US" w:eastAsia="zh-CN"/>
              </w:rPr>
            </w:pPr>
          </w:p>
        </w:tc>
      </w:tr>
      <w:tr>
        <w:tblPrEx>
          <w:tblCellMar>
            <w:top w:w="0" w:type="dxa"/>
            <w:left w:w="108" w:type="dxa"/>
            <w:bottom w:w="0" w:type="dxa"/>
            <w:right w:w="108" w:type="dxa"/>
          </w:tblCellMar>
        </w:tblPrEx>
        <w:trPr>
          <w:trHeight w:val="955" w:hRule="atLeast"/>
          <w:jc w:val="center"/>
        </w:trPr>
        <w:tc>
          <w:tcPr>
            <w:tcW w:w="981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cs="宋体"/>
                <w:highlight w:val="none"/>
                <w:lang w:val="en-US" w:eastAsia="zh-CN"/>
              </w:rPr>
            </w:pPr>
            <w:r>
              <w:rPr>
                <w:rFonts w:hint="eastAsia" w:ascii="宋体" w:hAnsi="宋体" w:cs="宋体"/>
                <w:highlight w:val="none"/>
                <w:lang w:val="en-US" w:eastAsia="zh-CN"/>
              </w:rPr>
              <w:t>配置清单：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1、计算机2台，配置要求：（CPU≥i5处理器、内存CPU≥16GB、硬盘存储≥1TB及相关配件显示器≥19英寸、键盘、鼠标等）。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default" w:ascii="宋体" w:hAnsi="宋体" w:cs="宋体"/>
                <w:highlight w:val="none"/>
                <w:lang w:val="en-US" w:eastAsia="zh-CN"/>
              </w:rPr>
            </w:pPr>
            <w:r>
              <w:rPr>
                <w:rFonts w:hint="eastAsia" w:ascii="宋体" w:hAnsi="宋体" w:cs="宋体"/>
                <w:highlight w:val="none"/>
                <w:lang w:val="en-US" w:eastAsia="zh-CN"/>
              </w:rPr>
              <w:t>2、2套动态心电记录器匹配的分析软件及2台配套使用的打印机。</w:t>
            </w:r>
          </w:p>
        </w:tc>
      </w:tr>
      <w:tr>
        <w:tblPrEx>
          <w:tblCellMar>
            <w:top w:w="0" w:type="dxa"/>
            <w:left w:w="108" w:type="dxa"/>
            <w:bottom w:w="0" w:type="dxa"/>
            <w:right w:w="108" w:type="dxa"/>
          </w:tblCellMar>
        </w:tblPrEx>
        <w:trPr>
          <w:trHeight w:val="955" w:hRule="atLeast"/>
          <w:jc w:val="center"/>
        </w:trPr>
        <w:tc>
          <w:tcPr>
            <w:tcW w:w="981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cs="宋体"/>
                <w:lang w:val="en-US" w:eastAsia="zh-CN"/>
              </w:rPr>
              <w:t>2.供货、安装、调试期</w:t>
            </w:r>
            <w:r>
              <w:rPr>
                <w:rFonts w:hint="eastAsia" w:ascii="宋体" w:hAnsi="宋体" w:eastAsia="宋体" w:cs="宋体"/>
              </w:rPr>
              <w:t>：</w:t>
            </w:r>
            <w:r>
              <w:rPr>
                <w:rFonts w:hint="eastAsia" w:ascii="宋体" w:hAnsi="宋体" w:cs="宋体"/>
                <w:color w:val="auto"/>
                <w:sz w:val="21"/>
                <w:szCs w:val="21"/>
                <w:highlight w:val="none"/>
                <w:lang w:val="en-US" w:eastAsia="zh-CN"/>
              </w:rPr>
              <w:t>合同签订后20日历天内完成</w:t>
            </w:r>
            <w:r>
              <w:rPr>
                <w:rFonts w:hint="eastAsia" w:ascii="宋体" w:hAnsi="宋体" w:cs="宋体"/>
                <w:color w:val="auto"/>
                <w:sz w:val="21"/>
                <w:szCs w:val="21"/>
                <w:highlight w:val="none"/>
                <w:lang w:eastAsia="zh-CN"/>
              </w:rPr>
              <w:t>。</w:t>
            </w:r>
          </w:p>
        </w:tc>
      </w:tr>
    </w:tbl>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ascii="宋体" w:hAnsi="宋体" w:cs="宋体"/>
          <w:szCs w:val="21"/>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，提供原厂质保，质保期至少为</w:t>
      </w:r>
      <w:r>
        <w:rPr>
          <w:rFonts w:hint="eastAsia" w:ascii="宋体" w:hAnsi="宋体" w:cs="宋体"/>
          <w:b/>
          <w:bCs/>
          <w:szCs w:val="21"/>
          <w:highlight w:val="none"/>
          <w:u w:val="none"/>
          <w:lang w:val="en-US" w:eastAsia="zh-CN"/>
        </w:rPr>
        <w:t>两</w:t>
      </w:r>
      <w:r>
        <w:rPr>
          <w:rFonts w:hint="eastAsia" w:ascii="宋体" w:hAnsi="宋体" w:cs="宋体"/>
          <w:b/>
          <w:bCs/>
          <w:szCs w:val="21"/>
          <w:highlight w:val="none"/>
        </w:rPr>
        <w:t>年，</w:t>
      </w:r>
      <w:r>
        <w:rPr>
          <w:rFonts w:hint="eastAsia" w:ascii="宋体" w:hAnsi="宋体" w:cs="宋体"/>
          <w:szCs w:val="21"/>
          <w:highlight w:val="none"/>
        </w:rPr>
        <w:t>质</w:t>
      </w:r>
      <w:r>
        <w:rPr>
          <w:rFonts w:hint="eastAsia" w:ascii="宋体" w:hAnsi="宋体" w:cs="宋体"/>
          <w:szCs w:val="21"/>
        </w:rPr>
        <w:t>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numPr>
          <w:ilvl w:val="0"/>
          <w:numId w:val="2"/>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投标人按总价进行报价，其投标报价不得高于最高投标限价。报价内应包含产品费用、标准附件、备品备件、运费(多次分批量送货，含装卸力资）、税费、</w:t>
      </w:r>
      <w:r>
        <w:rPr>
          <w:rFonts w:hint="eastAsia" w:ascii="宋体" w:hAnsi="宋体" w:eastAsia="宋体" w:cs="宋体"/>
          <w:color w:val="auto"/>
          <w:kern w:val="2"/>
          <w:sz w:val="21"/>
          <w:szCs w:val="21"/>
          <w:highlight w:val="none"/>
          <w:lang w:val="zh-CN" w:eastAsia="zh-CN" w:bidi="ar-SA"/>
        </w:rPr>
        <w:t>检验</w:t>
      </w:r>
      <w:r>
        <w:rPr>
          <w:rFonts w:hint="eastAsia" w:ascii="宋体" w:hAnsi="宋体" w:eastAsia="宋体" w:cs="宋体"/>
          <w:color w:val="auto"/>
          <w:kern w:val="2"/>
          <w:sz w:val="21"/>
          <w:szCs w:val="21"/>
          <w:highlight w:val="none"/>
          <w:lang w:val="en-US" w:eastAsia="zh-CN" w:bidi="ar-SA"/>
        </w:rPr>
        <w:t>费</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Times New Roman"/>
          <w:color w:val="000000"/>
          <w:szCs w:val="21"/>
          <w:highlight w:val="none"/>
          <w:lang w:val="en-US" w:eastAsia="zh-CN"/>
        </w:rPr>
        <w:t>维</w:t>
      </w:r>
      <w:r>
        <w:rPr>
          <w:rFonts w:hint="eastAsia" w:ascii="宋体" w:hAnsi="宋体" w:cs="Times New Roman"/>
          <w:color w:val="000000"/>
          <w:szCs w:val="21"/>
          <w:highlight w:val="none"/>
          <w:lang w:val="en-US" w:eastAsia="zh-CN"/>
        </w:rPr>
        <w:t>修</w:t>
      </w:r>
      <w:r>
        <w:rPr>
          <w:rFonts w:hint="eastAsia" w:ascii="宋体" w:hAnsi="宋体" w:eastAsia="宋体" w:cs="Times New Roman"/>
          <w:color w:val="000000"/>
          <w:szCs w:val="21"/>
          <w:highlight w:val="none"/>
          <w:lang w:val="en-US" w:eastAsia="zh-CN"/>
        </w:rPr>
        <w:t>保养费</w:t>
      </w:r>
      <w:r>
        <w:rPr>
          <w:rFonts w:hint="eastAsia" w:ascii="宋体" w:hAnsi="宋体" w:cs="Times New Roman"/>
          <w:color w:val="000000"/>
          <w:szCs w:val="21"/>
          <w:highlight w:val="none"/>
          <w:lang w:val="en-US" w:eastAsia="zh-CN"/>
        </w:rPr>
        <w:t>、</w:t>
      </w:r>
      <w:r>
        <w:rPr>
          <w:rFonts w:hint="eastAsia" w:ascii="宋体" w:hAnsi="宋体" w:eastAsia="宋体" w:cs="宋体"/>
          <w:color w:val="auto"/>
          <w:kern w:val="2"/>
          <w:sz w:val="21"/>
          <w:szCs w:val="21"/>
          <w:highlight w:val="none"/>
          <w:lang w:val="en-US" w:eastAsia="zh-CN" w:bidi="ar-SA"/>
        </w:rPr>
        <w:t>保险费、仓储费、印刷费、包装费、售后服务等为完成本项目所必须的其他辅助工作的相关费用等所有费用。投标人应结合采购需求及自身情况合理报价，一旦中标，中标价后期将不作任何调整。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p>
    <w:p>
      <w:pPr>
        <w:numPr>
          <w:ilvl w:val="0"/>
          <w:numId w:val="0"/>
        </w:numPr>
        <w:spacing w:line="360" w:lineRule="auto"/>
        <w:ind w:firstLine="422" w:firstLineChars="200"/>
        <w:rPr>
          <w:rFonts w:hint="eastAsia" w:ascii="宋体" w:hAnsi="宋体"/>
          <w:b/>
          <w:bCs/>
          <w:szCs w:val="21"/>
          <w:highlight w:val="none"/>
          <w:lang w:eastAsia="zh-CN"/>
        </w:rPr>
      </w:pPr>
      <w:r>
        <w:rPr>
          <w:rFonts w:hint="eastAsia" w:ascii="宋体" w:hAnsi="宋体"/>
          <w:b/>
          <w:bCs/>
          <w:szCs w:val="21"/>
          <w:highlight w:val="none"/>
          <w:lang w:eastAsia="zh-CN"/>
        </w:rPr>
        <w:t>供货、安装、调试完毕且经采购人验收合格后支付合同总金额的</w:t>
      </w:r>
      <w:r>
        <w:rPr>
          <w:rFonts w:hint="eastAsia" w:ascii="宋体" w:hAnsi="宋体"/>
          <w:b/>
          <w:bCs/>
          <w:szCs w:val="21"/>
          <w:highlight w:val="none"/>
          <w:lang w:val="en-US" w:eastAsia="zh-CN"/>
        </w:rPr>
        <w:t>9</w:t>
      </w:r>
      <w:r>
        <w:rPr>
          <w:rFonts w:hint="eastAsia" w:ascii="宋体" w:hAnsi="宋体"/>
          <w:b/>
          <w:bCs/>
          <w:szCs w:val="21"/>
          <w:highlight w:val="none"/>
          <w:lang w:eastAsia="zh-CN"/>
        </w:rPr>
        <w:t>0%；余款待质保期满后一次性付清。</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p>
    <w:bookmarkEnd w:id="0"/>
    <w:bookmarkEnd w:id="1"/>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一</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一</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1">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B6E2A13"/>
    <w:rsid w:val="0B6E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5">
    <w:name w:val="Normal Indent"/>
    <w:basedOn w:val="1"/>
    <w:next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2024-12-10T03:22:00Z</dcterms:created>
  <dc:creator>Miss</dc:creator>
  <cp:lastModifiedBy>Miss</cp:lastModifiedBy>
  <dcterms:modified xsi:type="dcterms:W3CDTF">2024-12-10T03:22:48Z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5175DC4D5E21400F9A76CD0B6760B652_11</vt:lpwstr>
  </property>
</Properties>
</file>