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4A809">
      <w:pPr>
        <w:jc w:val="center"/>
        <w:outlineLvl w:val="0"/>
        <w:rPr>
          <w:rFonts w:ascii="宋体" w:cs="宋体"/>
          <w:b/>
          <w:bCs/>
          <w:snapToGrid w:val="0"/>
          <w:color w:val="auto"/>
          <w:kern w:val="0"/>
          <w:sz w:val="32"/>
          <w:szCs w:val="32"/>
          <w:highlight w:val="none"/>
        </w:rPr>
      </w:pPr>
      <w:r>
        <w:rPr>
          <w:rFonts w:hint="eastAsia" w:ascii="宋体" w:hAnsi="宋体" w:cs="宋体"/>
          <w:b/>
          <w:color w:val="auto"/>
          <w:sz w:val="32"/>
          <w:szCs w:val="32"/>
          <w:highlight w:val="none"/>
          <w:lang w:val="zh-CN"/>
        </w:rPr>
        <w:t>货物需求及参数要求</w:t>
      </w:r>
    </w:p>
    <w:p w14:paraId="484F5868">
      <w:pPr>
        <w:widowControl/>
        <w:spacing w:line="360" w:lineRule="auto"/>
        <w:jc w:val="left"/>
        <w:rPr>
          <w:b/>
          <w:bCs/>
          <w:color w:val="auto"/>
          <w:highlight w:val="none"/>
        </w:rPr>
      </w:pPr>
      <w:r>
        <w:rPr>
          <w:rFonts w:hint="eastAsia"/>
          <w:b/>
          <w:bCs/>
          <w:color w:val="auto"/>
          <w:highlight w:val="none"/>
        </w:rPr>
        <w:t>一、货物需求一览表</w:t>
      </w:r>
    </w:p>
    <w:tbl>
      <w:tblPr>
        <w:tblStyle w:val="4"/>
        <w:tblW w:w="9955" w:type="dxa"/>
        <w:jc w:val="center"/>
        <w:tblLayout w:type="fixed"/>
        <w:tblCellMar>
          <w:top w:w="0" w:type="dxa"/>
          <w:left w:w="108" w:type="dxa"/>
          <w:bottom w:w="0" w:type="dxa"/>
          <w:right w:w="108" w:type="dxa"/>
        </w:tblCellMar>
      </w:tblPr>
      <w:tblGrid>
        <w:gridCol w:w="611"/>
        <w:gridCol w:w="1280"/>
        <w:gridCol w:w="5589"/>
        <w:gridCol w:w="612"/>
        <w:gridCol w:w="588"/>
        <w:gridCol w:w="1275"/>
      </w:tblGrid>
      <w:tr w14:paraId="60C847F1">
        <w:tblPrEx>
          <w:tblCellMar>
            <w:top w:w="0" w:type="dxa"/>
            <w:left w:w="108" w:type="dxa"/>
            <w:bottom w:w="0" w:type="dxa"/>
            <w:right w:w="108" w:type="dxa"/>
          </w:tblCellMar>
        </w:tblPrEx>
        <w:trPr>
          <w:trHeight w:val="652" w:hRule="atLeast"/>
          <w:jc w:val="center"/>
        </w:trPr>
        <w:tc>
          <w:tcPr>
            <w:tcW w:w="611" w:type="dxa"/>
            <w:tcBorders>
              <w:top w:val="single" w:color="000000" w:sz="4" w:space="0"/>
              <w:left w:val="single" w:color="000000" w:sz="4" w:space="0"/>
              <w:bottom w:val="single" w:color="auto" w:sz="4" w:space="0"/>
              <w:right w:val="single" w:color="000000" w:sz="4" w:space="0"/>
            </w:tcBorders>
            <w:noWrap/>
            <w:vAlign w:val="center"/>
          </w:tcPr>
          <w:p w14:paraId="26FF606E">
            <w:pPr>
              <w:widowControl/>
              <w:jc w:val="center"/>
              <w:textAlignment w:val="center"/>
              <w:rPr>
                <w:rFonts w:hint="eastAsia" w:asciiTheme="minorEastAsia" w:hAnsiTheme="minorEastAsia" w:eastAsiaTheme="minorEastAsia" w:cstheme="minorEastAsia"/>
                <w:b/>
                <w:bCs/>
                <w:color w:val="auto"/>
                <w:szCs w:val="21"/>
                <w:highlight w:val="none"/>
              </w:rPr>
            </w:pPr>
            <w:bookmarkStart w:id="0" w:name="_Hlk106267351"/>
            <w:bookmarkStart w:id="1" w:name="_Hlk96158360"/>
            <w:r>
              <w:rPr>
                <w:rFonts w:hint="eastAsia" w:asciiTheme="minorEastAsia" w:hAnsiTheme="minorEastAsia" w:eastAsiaTheme="minorEastAsia" w:cstheme="minorEastAsia"/>
                <w:b/>
                <w:bCs/>
                <w:color w:val="auto"/>
                <w:kern w:val="0"/>
                <w:szCs w:val="21"/>
                <w:highlight w:val="none"/>
                <w:lang w:bidi="ar"/>
              </w:rPr>
              <w:t>序号</w:t>
            </w:r>
          </w:p>
        </w:tc>
        <w:tc>
          <w:tcPr>
            <w:tcW w:w="1280" w:type="dxa"/>
            <w:tcBorders>
              <w:top w:val="single" w:color="000000" w:sz="4" w:space="0"/>
              <w:left w:val="single" w:color="000000" w:sz="4" w:space="0"/>
              <w:bottom w:val="single" w:color="auto" w:sz="4" w:space="0"/>
              <w:right w:val="single" w:color="000000" w:sz="4" w:space="0"/>
            </w:tcBorders>
            <w:noWrap/>
            <w:vAlign w:val="center"/>
          </w:tcPr>
          <w:p w14:paraId="2E231CDA">
            <w:pPr>
              <w:widowControl/>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名称</w:t>
            </w:r>
          </w:p>
        </w:tc>
        <w:tc>
          <w:tcPr>
            <w:tcW w:w="5589" w:type="dxa"/>
            <w:tcBorders>
              <w:top w:val="single" w:color="000000" w:sz="4" w:space="0"/>
              <w:left w:val="single" w:color="000000" w:sz="4" w:space="0"/>
              <w:bottom w:val="single" w:color="auto" w:sz="4" w:space="0"/>
              <w:right w:val="single" w:color="000000" w:sz="4" w:space="0"/>
            </w:tcBorders>
            <w:noWrap/>
            <w:vAlign w:val="center"/>
          </w:tcPr>
          <w:p w14:paraId="14169637">
            <w:pPr>
              <w:widowControl/>
              <w:jc w:val="center"/>
              <w:textAlignment w:val="center"/>
              <w:rPr>
                <w:rFonts w:hint="eastAsia"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b/>
                <w:bCs/>
                <w:color w:val="auto"/>
                <w:kern w:val="0"/>
                <w:szCs w:val="21"/>
                <w:highlight w:val="none"/>
                <w:lang w:bidi="ar"/>
              </w:rPr>
              <w:t>技术参数</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418D663E">
            <w:pPr>
              <w:widowControl/>
              <w:jc w:val="center"/>
              <w:textAlignment w:val="center"/>
              <w:rPr>
                <w:rFonts w:hint="eastAsia"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b/>
                <w:bCs/>
                <w:color w:val="auto"/>
                <w:kern w:val="0"/>
                <w:szCs w:val="21"/>
                <w:highlight w:val="none"/>
                <w:lang w:bidi="ar"/>
              </w:rPr>
              <w:t>单位</w:t>
            </w: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8981D15">
            <w:pPr>
              <w:widowControl/>
              <w:jc w:val="center"/>
              <w:textAlignment w:val="center"/>
              <w:rPr>
                <w:rFonts w:hint="eastAsia"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b/>
                <w:bCs/>
                <w:color w:val="auto"/>
                <w:kern w:val="0"/>
                <w:szCs w:val="21"/>
                <w:highlight w:val="none"/>
                <w:lang w:bidi="ar"/>
              </w:rPr>
              <w:t>数量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EA09030">
            <w:pPr>
              <w:widowControl/>
              <w:jc w:val="center"/>
              <w:textAlignment w:val="center"/>
              <w:rPr>
                <w:rFonts w:hint="eastAsia"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b/>
                <w:bCs/>
                <w:color w:val="auto"/>
                <w:kern w:val="0"/>
                <w:szCs w:val="21"/>
                <w:highlight w:val="none"/>
                <w:lang w:bidi="ar"/>
              </w:rPr>
              <w:t>单价限价（元）</w:t>
            </w:r>
          </w:p>
        </w:tc>
      </w:tr>
      <w:tr w14:paraId="27384CEC">
        <w:tblPrEx>
          <w:tblCellMar>
            <w:top w:w="0" w:type="dxa"/>
            <w:left w:w="108" w:type="dxa"/>
            <w:bottom w:w="0" w:type="dxa"/>
            <w:right w:w="108" w:type="dxa"/>
          </w:tblCellMar>
        </w:tblPrEx>
        <w:trPr>
          <w:trHeight w:val="1126"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14:paraId="7E7CE5D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80" w:type="dxa"/>
            <w:tcBorders>
              <w:top w:val="single" w:color="auto" w:sz="4" w:space="0"/>
              <w:left w:val="single" w:color="auto" w:sz="4" w:space="0"/>
              <w:bottom w:val="single" w:color="auto" w:sz="4" w:space="0"/>
              <w:right w:val="single" w:color="auto" w:sz="4" w:space="0"/>
            </w:tcBorders>
            <w:noWrap/>
            <w:vAlign w:val="center"/>
          </w:tcPr>
          <w:p w14:paraId="1889EAD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宋体" w:hAnsi="宋体"/>
                <w:bCs/>
                <w:color w:val="auto"/>
                <w:szCs w:val="21"/>
                <w:highlight w:val="none"/>
              </w:rPr>
              <w:t>连续性血液净化装置（CRRT）</w:t>
            </w:r>
          </w:p>
        </w:tc>
        <w:tc>
          <w:tcPr>
            <w:tcW w:w="5589" w:type="dxa"/>
            <w:tcBorders>
              <w:top w:val="single" w:color="auto" w:sz="4" w:space="0"/>
              <w:left w:val="single" w:color="auto" w:sz="4" w:space="0"/>
              <w:bottom w:val="single" w:color="auto" w:sz="4" w:space="0"/>
              <w:right w:val="single" w:color="000000" w:sz="4" w:space="0"/>
            </w:tcBorders>
            <w:noWrap/>
            <w:vAlign w:val="center"/>
          </w:tcPr>
          <w:p w14:paraId="7E02A7BF">
            <w:pPr>
              <w:widowControl/>
              <w:spacing w:line="360" w:lineRule="auto"/>
              <w:jc w:val="left"/>
              <w:textAlignment w:val="center"/>
              <w:rPr>
                <w:rFonts w:hint="eastAsia" w:ascii="宋体" w:hAnsi="宋体"/>
                <w:b/>
                <w:color w:val="auto"/>
                <w:szCs w:val="21"/>
                <w:highlight w:val="none"/>
              </w:rPr>
            </w:pPr>
            <w:r>
              <w:rPr>
                <w:rFonts w:hint="eastAsia" w:ascii="宋体" w:hAnsi="宋体"/>
                <w:b/>
                <w:color w:val="auto"/>
                <w:szCs w:val="21"/>
                <w:highlight w:val="none"/>
              </w:rPr>
              <w:t>一、基本性能要求</w:t>
            </w:r>
          </w:p>
          <w:p w14:paraId="46EA3755">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1、7个驱动泵（血泵、后稀释泵、前稀释泵/透析液泵、滤出液泵、肝素泵、枸橼酸泵、钙泵）。</w:t>
            </w:r>
          </w:p>
          <w:p w14:paraId="225995EB">
            <w:pPr>
              <w:widowControl/>
              <w:numPr>
                <w:ilvl w:val="0"/>
                <w:numId w:val="1"/>
              </w:numPr>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压力监测：动脉压力、静脉压力、滤器前压力。</w:t>
            </w:r>
          </w:p>
          <w:p w14:paraId="61D90A46">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3、平衡称：采用重量分析测量原理，具有4个电子秤。天平（秤）采用清洁区和污染区分开的上下布局形式，避免交叉感染。</w:t>
            </w:r>
          </w:p>
          <w:p w14:paraId="5E6BF838">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4、内置一体化高效加温器，可分别加热置换液、透析液。</w:t>
            </w:r>
          </w:p>
          <w:p w14:paraId="6F1E5F8C">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5、具有超声空气监测器、漏血监测器、治疗液体自动除气壶、静脉壶及静脉夹。</w:t>
            </w:r>
          </w:p>
          <w:p w14:paraId="7B446A94">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6、可进行单独前或后稀释，或前后稀释同时进行，可随时改变比例。</w:t>
            </w:r>
          </w:p>
          <w:p w14:paraId="0AB99F30">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★7、提供与机器同品牌CRRT专用空心纤维血液透析滤器；管路、滤器分开,临床可</w:t>
            </w:r>
            <w:r>
              <w:rPr>
                <w:rFonts w:hint="eastAsia" w:ascii="宋体" w:hAnsi="宋体"/>
                <w:bCs/>
                <w:color w:val="auto"/>
                <w:szCs w:val="21"/>
                <w:highlight w:val="none"/>
                <w:lang w:val="en-US" w:eastAsia="zh-CN"/>
              </w:rPr>
              <w:t>根据</w:t>
            </w:r>
            <w:r>
              <w:rPr>
                <w:rFonts w:hint="eastAsia" w:ascii="宋体" w:hAnsi="宋体"/>
                <w:bCs/>
                <w:color w:val="auto"/>
                <w:szCs w:val="21"/>
                <w:highlight w:val="none"/>
              </w:rPr>
              <w:t>治疗需求选择不同的滤器。一套管路可实现CVVH、CVVHD、CVVHDF治疗，在治疗中可切换治疗模式，无需更换耗材。</w:t>
            </w:r>
          </w:p>
          <w:p w14:paraId="0E1CABD0">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8、空气探测器，采用超声波技术，可以有效监测微气泡。</w:t>
            </w:r>
          </w:p>
          <w:p w14:paraId="7CF806F4">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9、漏血检测器：光学检测，在最大滤过液流量时，≤0.5ml/min血漏。</w:t>
            </w:r>
          </w:p>
          <w:p w14:paraId="522FA7EA">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10、报警系统</w:t>
            </w:r>
          </w:p>
          <w:p w14:paraId="09499DCB">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a.动脉压报警、静脉压报警、滤过压报警、TMP报警；</w:t>
            </w:r>
          </w:p>
          <w:p w14:paraId="683729CB">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b.气泡检知报警、装置异常报警；</w:t>
            </w:r>
          </w:p>
          <w:p w14:paraId="274B41AA">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C.置换液/透析液换袋报警；</w:t>
            </w:r>
          </w:p>
          <w:p w14:paraId="0D22E656">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d.加温器具备温度报警功能；</w:t>
            </w:r>
          </w:p>
          <w:p w14:paraId="0EEB20FA">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e.肝素注射器结束报警；</w:t>
            </w:r>
          </w:p>
          <w:p w14:paraId="6D5CBEFB">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f.电源异常报警。</w:t>
            </w:r>
          </w:p>
          <w:p w14:paraId="1A178AD0">
            <w:pPr>
              <w:widowControl/>
              <w:spacing w:line="360" w:lineRule="auto"/>
              <w:jc w:val="left"/>
              <w:textAlignment w:val="center"/>
              <w:rPr>
                <w:rFonts w:hint="eastAsia" w:ascii="宋体" w:hAnsi="宋体"/>
                <w:b/>
                <w:color w:val="auto"/>
                <w:szCs w:val="21"/>
                <w:highlight w:val="none"/>
              </w:rPr>
            </w:pPr>
            <w:r>
              <w:rPr>
                <w:rFonts w:hint="eastAsia" w:ascii="宋体" w:hAnsi="宋体"/>
                <w:b/>
                <w:color w:val="auto"/>
                <w:szCs w:val="21"/>
                <w:highlight w:val="none"/>
              </w:rPr>
              <w:t>二、治疗模式</w:t>
            </w:r>
          </w:p>
          <w:p w14:paraId="14350922">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包括SCUF、CVVH、CVVHD、CVVHDF、HP、PE（DFPP）；操作系统具备患者关爱模式，在体位变化或患者护理时减少报警。</w:t>
            </w:r>
          </w:p>
          <w:p w14:paraId="51AC2056">
            <w:pPr>
              <w:widowControl/>
              <w:spacing w:line="360" w:lineRule="auto"/>
              <w:jc w:val="left"/>
              <w:textAlignment w:val="center"/>
              <w:rPr>
                <w:rFonts w:hint="eastAsia" w:ascii="宋体" w:hAnsi="宋体"/>
                <w:b/>
                <w:color w:val="auto"/>
                <w:szCs w:val="21"/>
                <w:highlight w:val="none"/>
              </w:rPr>
            </w:pPr>
            <w:r>
              <w:rPr>
                <w:rFonts w:hint="eastAsia" w:ascii="宋体" w:hAnsi="宋体"/>
                <w:b/>
                <w:color w:val="auto"/>
                <w:szCs w:val="21"/>
                <w:highlight w:val="none"/>
              </w:rPr>
              <w:t>三、配置要求</w:t>
            </w:r>
          </w:p>
          <w:p w14:paraId="53616BEB">
            <w:pPr>
              <w:widowControl/>
              <w:spacing w:line="360" w:lineRule="auto"/>
              <w:jc w:val="left"/>
              <w:textAlignment w:val="center"/>
              <w:rPr>
                <w:rFonts w:hint="eastAsia" w:ascii="宋体" w:hAnsi="宋体"/>
                <w:bCs/>
                <w:color w:val="auto"/>
                <w:szCs w:val="21"/>
                <w:highlight w:val="none"/>
              </w:rPr>
            </w:pPr>
            <w:r>
              <w:rPr>
                <w:rFonts w:hint="eastAsia" w:ascii="宋体" w:hAnsi="宋体"/>
                <w:bCs/>
                <w:color w:val="auto"/>
                <w:szCs w:val="21"/>
                <w:highlight w:val="none"/>
              </w:rPr>
              <w:t>1.提供完整的使用和保养中文手册。</w:t>
            </w:r>
          </w:p>
          <w:p w14:paraId="5B75E6B1">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宋体" w:hAnsi="宋体"/>
                <w:bCs/>
                <w:color w:val="auto"/>
                <w:szCs w:val="21"/>
                <w:highlight w:val="none"/>
              </w:rPr>
              <w:t>2.具有后备电池，停电时后备电池可维持机器正常运转至安全回血下机。</w:t>
            </w:r>
          </w:p>
        </w:tc>
        <w:tc>
          <w:tcPr>
            <w:tcW w:w="612" w:type="dxa"/>
            <w:tcBorders>
              <w:top w:val="single" w:color="000000" w:sz="4" w:space="0"/>
              <w:left w:val="single" w:color="000000" w:sz="4" w:space="0"/>
              <w:bottom w:val="single" w:color="auto" w:sz="4" w:space="0"/>
              <w:right w:val="single" w:color="000000" w:sz="4" w:space="0"/>
            </w:tcBorders>
            <w:noWrap/>
            <w:vAlign w:val="center"/>
          </w:tcPr>
          <w:p w14:paraId="552009B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宋体" w:hAnsi="宋体" w:cs="宋体"/>
                <w:color w:val="auto"/>
                <w:sz w:val="22"/>
                <w:szCs w:val="28"/>
                <w:highlight w:val="none"/>
              </w:rPr>
              <w:t>台</w:t>
            </w:r>
          </w:p>
        </w:tc>
        <w:tc>
          <w:tcPr>
            <w:tcW w:w="588" w:type="dxa"/>
            <w:tcBorders>
              <w:top w:val="single" w:color="000000" w:sz="4" w:space="0"/>
              <w:left w:val="single" w:color="000000" w:sz="4" w:space="0"/>
              <w:bottom w:val="single" w:color="auto" w:sz="4" w:space="0"/>
              <w:right w:val="single" w:color="000000" w:sz="4" w:space="0"/>
            </w:tcBorders>
            <w:noWrap/>
            <w:vAlign w:val="center"/>
          </w:tcPr>
          <w:p w14:paraId="49217D2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宋体" w:hAnsi="宋体" w:cs="宋体"/>
                <w:color w:val="auto"/>
                <w:kern w:val="0"/>
                <w:sz w:val="20"/>
                <w:highlight w:val="none"/>
                <w:lang w:bidi="ar"/>
              </w:rPr>
              <w:t>1</w:t>
            </w:r>
          </w:p>
        </w:tc>
        <w:tc>
          <w:tcPr>
            <w:tcW w:w="1275" w:type="dxa"/>
            <w:tcBorders>
              <w:top w:val="single" w:color="000000" w:sz="4" w:space="0"/>
              <w:left w:val="single" w:color="000000" w:sz="4" w:space="0"/>
              <w:bottom w:val="single" w:color="auto" w:sz="4" w:space="0"/>
              <w:right w:val="single" w:color="000000" w:sz="4" w:space="0"/>
            </w:tcBorders>
            <w:noWrap/>
            <w:vAlign w:val="center"/>
          </w:tcPr>
          <w:p w14:paraId="24CB52E8">
            <w:pPr>
              <w:widowControl/>
              <w:jc w:val="center"/>
              <w:textAlignment w:val="bottom"/>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4"/>
                <w:highlight w:val="none"/>
              </w:rPr>
              <w:t>29万</w:t>
            </w:r>
          </w:p>
        </w:tc>
      </w:tr>
      <w:tr w14:paraId="74B1F370">
        <w:tblPrEx>
          <w:tblCellMar>
            <w:top w:w="0" w:type="dxa"/>
            <w:left w:w="108" w:type="dxa"/>
            <w:bottom w:w="0" w:type="dxa"/>
            <w:right w:w="108" w:type="dxa"/>
          </w:tblCellMar>
        </w:tblPrEx>
        <w:trPr>
          <w:trHeight w:val="955" w:hRule="atLeast"/>
          <w:jc w:val="center"/>
        </w:trPr>
        <w:tc>
          <w:tcPr>
            <w:tcW w:w="9955" w:type="dxa"/>
            <w:gridSpan w:val="6"/>
            <w:tcBorders>
              <w:top w:val="single" w:color="auto" w:sz="4" w:space="0"/>
              <w:left w:val="single" w:color="000000" w:sz="4" w:space="0"/>
              <w:bottom w:val="single" w:color="000000" w:sz="4" w:space="0"/>
              <w:right w:val="single" w:color="000000" w:sz="4" w:space="0"/>
            </w:tcBorders>
            <w:noWrap/>
            <w:vAlign w:val="center"/>
          </w:tcPr>
          <w:p w14:paraId="35EBCDE1">
            <w:pPr>
              <w:widowControl/>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说明：</w:t>
            </w:r>
          </w:p>
          <w:p w14:paraId="324609E7">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1.投标人的投标文件必须标明所投货物的品牌与参数，保证原厂正品供货。</w:t>
            </w:r>
          </w:p>
          <w:p w14:paraId="43F6C29A">
            <w:pPr>
              <w:widowControl/>
              <w:spacing w:line="360" w:lineRule="auto"/>
              <w:ind w:left="420" w:leftChars="200"/>
              <w:jc w:val="left"/>
              <w:textAlignment w:val="center"/>
              <w:rPr>
                <w:rFonts w:hint="eastAsia" w:ascii="宋体" w:hAnsi="宋体"/>
                <w:b/>
                <w:color w:val="auto"/>
                <w:szCs w:val="21"/>
                <w:highlight w:val="none"/>
              </w:rPr>
            </w:pPr>
            <w:r>
              <w:rPr>
                <w:rFonts w:hint="eastAsia" w:ascii="宋体" w:hAnsi="宋体"/>
                <w:b/>
                <w:color w:val="auto"/>
                <w:szCs w:val="21"/>
                <w:highlight w:val="none"/>
              </w:rPr>
              <w:t>2.免费质保期：至少</w:t>
            </w:r>
            <w:r>
              <w:rPr>
                <w:rFonts w:hint="eastAsia" w:ascii="宋体" w:hAnsi="宋体"/>
                <w:b/>
                <w:color w:val="auto"/>
                <w:szCs w:val="21"/>
                <w:highlight w:val="none"/>
                <w:lang w:val="en-US" w:eastAsia="zh-CN"/>
              </w:rPr>
              <w:t>三</w:t>
            </w:r>
            <w:r>
              <w:rPr>
                <w:rFonts w:hint="eastAsia" w:ascii="宋体" w:hAnsi="宋体"/>
                <w:b/>
                <w:color w:val="auto"/>
                <w:szCs w:val="21"/>
                <w:highlight w:val="none"/>
              </w:rPr>
              <w:t>年</w:t>
            </w:r>
          </w:p>
          <w:p w14:paraId="6C94660F">
            <w:pPr>
              <w:widowControl/>
              <w:spacing w:line="360" w:lineRule="auto"/>
              <w:ind w:firstLine="422" w:firstLineChars="200"/>
              <w:jc w:val="left"/>
              <w:textAlignment w:val="center"/>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cs="宋体"/>
                <w:b/>
                <w:color w:val="auto"/>
                <w:szCs w:val="24"/>
                <w:highlight w:val="none"/>
              </w:rPr>
              <w:t>标</w:t>
            </w:r>
            <w:r>
              <w:rPr>
                <w:rFonts w:hint="eastAsia" w:ascii="宋体" w:hAnsi="宋体"/>
                <w:b/>
                <w:color w:val="auto"/>
                <w:szCs w:val="21"/>
                <w:highlight w:val="none"/>
              </w:rPr>
              <w:t>★</w:t>
            </w:r>
            <w:r>
              <w:rPr>
                <w:rFonts w:hint="eastAsia" w:ascii="宋体" w:hAnsi="宋体" w:cs="宋体"/>
                <w:b/>
                <w:color w:val="auto"/>
                <w:szCs w:val="24"/>
                <w:highlight w:val="none"/>
              </w:rPr>
              <w:t>项技术参数需</w:t>
            </w:r>
            <w:r>
              <w:rPr>
                <w:rFonts w:hint="eastAsia" w:asciiTheme="minorEastAsia" w:hAnsiTheme="minorEastAsia" w:eastAsiaTheme="minorEastAsia"/>
                <w:b/>
                <w:color w:val="auto"/>
                <w:szCs w:val="21"/>
                <w:highlight w:val="none"/>
              </w:rPr>
              <w:t>提供技术证明文件之一(医疗器械注册证、医疗器械注册登记表、第三方检测报告、产品技术白皮书、产品使用说明书)予以证明。技术证明文件中关于同一技术参数的表述不一致时，相关技术证明文件的效力由高到低顺序依次为医疗器械注册证、医疗器械注册登记表、第三方检测报告、产品技术白皮书、产品使用说明书。</w:t>
            </w:r>
          </w:p>
          <w:p w14:paraId="141C3EAB">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4.投标人对本表中的设备提供原装全新设备。售后服务要求在2小时内响应，工程师于24小时内到达现场给出解决方案，若72小时内不能解决问题，投标人无偿提供同型号的备用设备供采购人使用，备用设备如超出原标准，其经济责任由投标人自行承担，如未能及时提供，则采购人有权在市场上选购与原标准相匹配的同类产品以替代投标人产品，相关经济损失由投标人承担。保修期内，每年免费提供≥4次维护保养；负责仪器设备的维修保养以及配套控制软件的更新与维护；维护保养记录须向采购人报备，以使设备始终处于良好的性能状态。(报价时须考虑此项费用)。</w:t>
            </w:r>
          </w:p>
          <w:p w14:paraId="1A9CEB48">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5.所有技术参数及要求采购人验收时将逐条核对，如发现与实际情况不符、虚假响应等，采购人有权报监管部门并追究违约责任。</w:t>
            </w:r>
          </w:p>
          <w:p w14:paraId="10FAF5BC">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6.投标人应按照采购文件要求提供证明材料。若投标提供了采购文件未要求的证明材料，评标委员会将不予评审。</w:t>
            </w:r>
          </w:p>
          <w:p w14:paraId="06B1F934">
            <w:pPr>
              <w:widowControl/>
              <w:spacing w:line="360" w:lineRule="auto"/>
              <w:ind w:firstLine="420" w:firstLineChars="200"/>
              <w:jc w:val="left"/>
              <w:textAlignment w:val="center"/>
              <w:rPr>
                <w:rFonts w:hint="eastAsia" w:asciiTheme="minorEastAsia" w:hAnsiTheme="minorEastAsia" w:eastAsiaTheme="minorEastAsia" w:cstheme="minorEastAsia"/>
                <w:color w:val="auto"/>
                <w:szCs w:val="21"/>
                <w:highlight w:val="none"/>
              </w:rPr>
            </w:pPr>
            <w:r>
              <w:rPr>
                <w:rFonts w:hint="eastAsia" w:ascii="宋体" w:hAnsi="宋体"/>
                <w:bCs/>
                <w:color w:val="auto"/>
                <w:szCs w:val="21"/>
                <w:highlight w:val="none"/>
              </w:rPr>
              <w:t>7.投标人提供的证明材料须清晰的反映评审内容，如因材料模糊不清，导致评标委员会无法辨认的，评标委员会可以不予认可，一切后果由投标人自行承担。</w:t>
            </w:r>
          </w:p>
        </w:tc>
      </w:tr>
    </w:tbl>
    <w:p w14:paraId="69D50EB0">
      <w:pPr>
        <w:pStyle w:val="6"/>
        <w:shd w:val="clear" w:color="auto" w:fill="FFFFFF"/>
        <w:spacing w:line="360" w:lineRule="auto"/>
        <w:ind w:firstLine="0" w:firstLineChars="0"/>
        <w:jc w:val="left"/>
        <w:rPr>
          <w:color w:val="auto"/>
          <w:highlight w:val="none"/>
        </w:rPr>
      </w:pPr>
      <w:r>
        <w:rPr>
          <w:rFonts w:hint="eastAsia" w:ascii="宋体" w:hAnsi="宋体" w:cs="宋体"/>
          <w:b/>
          <w:color w:val="auto"/>
          <w:szCs w:val="21"/>
          <w:highlight w:val="none"/>
        </w:rPr>
        <w:t>二、供货期</w:t>
      </w:r>
    </w:p>
    <w:p w14:paraId="2DA171A5">
      <w:pPr>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日历天内完成供货安装调试。</w:t>
      </w:r>
    </w:p>
    <w:p w14:paraId="25919C83">
      <w:pPr>
        <w:spacing w:line="360" w:lineRule="auto"/>
        <w:outlineLvl w:val="1"/>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三、报价要求</w:t>
      </w:r>
    </w:p>
    <w:p w14:paraId="5E2E11B3">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14:paraId="2869DE24">
      <w:pPr>
        <w:spacing w:line="360" w:lineRule="auto"/>
        <w:outlineLvl w:val="1"/>
        <w:rPr>
          <w:rFonts w:hint="eastAsia" w:asciiTheme="majorEastAsia" w:hAnsiTheme="majorEastAsia" w:eastAsiaTheme="majorEastAsia" w:cstheme="majorEastAsia"/>
          <w:b/>
          <w:bCs/>
          <w:color w:val="auto"/>
          <w:szCs w:val="21"/>
          <w:highlight w:val="none"/>
        </w:rPr>
      </w:pPr>
      <w:bookmarkStart w:id="2" w:name="_Toc15293"/>
      <w:bookmarkStart w:id="3" w:name="_Toc14698"/>
      <w:r>
        <w:rPr>
          <w:rFonts w:hint="eastAsia" w:asciiTheme="majorEastAsia" w:hAnsiTheme="majorEastAsia" w:eastAsiaTheme="majorEastAsia" w:cstheme="majorEastAsia"/>
          <w:b/>
          <w:bCs/>
          <w:color w:val="auto"/>
          <w:szCs w:val="21"/>
          <w:highlight w:val="none"/>
        </w:rPr>
        <w:t>四、其他要求</w:t>
      </w:r>
      <w:bookmarkEnd w:id="2"/>
      <w:bookmarkEnd w:id="3"/>
    </w:p>
    <w:p w14:paraId="007BC3F4">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4" w:name="_Toc15427"/>
      <w:bookmarkStart w:id="5" w:name="_Toc4579"/>
      <w:r>
        <w:rPr>
          <w:rFonts w:hint="eastAsia" w:asciiTheme="majorEastAsia" w:hAnsiTheme="majorEastAsia" w:eastAsiaTheme="majorEastAsia" w:cstheme="majorEastAsia"/>
          <w:color w:val="auto"/>
          <w:szCs w:val="21"/>
          <w:highlight w:val="none"/>
        </w:rPr>
        <w:t>1.</w:t>
      </w:r>
      <w:bookmarkEnd w:id="4"/>
      <w:bookmarkEnd w:id="5"/>
      <w:r>
        <w:rPr>
          <w:rFonts w:hint="eastAsia" w:asciiTheme="majorEastAsia" w:hAnsiTheme="majorEastAsia" w:eastAsiaTheme="majorEastAsia" w:cstheme="majorEastAsia"/>
          <w:color w:val="auto"/>
          <w:szCs w:val="21"/>
          <w:highlight w:val="none"/>
        </w:rPr>
        <w:t>货物验收合格后，中标人应对采购人的相关人员进行免费现场培训。</w:t>
      </w:r>
    </w:p>
    <w:p w14:paraId="271915F3">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6" w:name="_Toc21193"/>
      <w:bookmarkStart w:id="7" w:name="_Toc23557"/>
      <w:r>
        <w:rPr>
          <w:rFonts w:hint="eastAsia" w:asciiTheme="majorEastAsia" w:hAnsiTheme="majorEastAsia" w:eastAsiaTheme="majorEastAsia" w:cstheme="majorEastAsia"/>
          <w:color w:val="auto"/>
          <w:szCs w:val="21"/>
          <w:highlight w:val="none"/>
        </w:rPr>
        <w:t>2.货物质量</w:t>
      </w:r>
      <w:bookmarkEnd w:id="6"/>
      <w:bookmarkEnd w:id="7"/>
    </w:p>
    <w:p w14:paraId="086BC880">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8" w:name="_Toc7485"/>
      <w:bookmarkStart w:id="9" w:name="_Toc23093"/>
      <w:r>
        <w:rPr>
          <w:rFonts w:hint="eastAsia" w:asciiTheme="majorEastAsia" w:hAnsiTheme="majorEastAsia" w:eastAsiaTheme="majorEastAsia" w:cstheme="majorEastAsia"/>
          <w:color w:val="auto"/>
          <w:szCs w:val="21"/>
          <w:highlight w:val="none"/>
        </w:rPr>
        <w:t>（1）货物质量：中标人提供的货物必须是全新、原装、合格正品，完全符合国家规定的质量标准和厂方的标准。货物完好，配件齐全。</w:t>
      </w:r>
    </w:p>
    <w:p w14:paraId="29F77E7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（2）保修及售后服务：依据商品的保修条款及售后服务条款，提供质保，质保期按照国家规定，且不低于所供品牌向用户承诺的质保期限，采购文件另有约定的从其约定。质保期从货物验收合格后算起。</w:t>
      </w:r>
    </w:p>
    <w:p w14:paraId="16BBD159">
      <w:pPr>
        <w:spacing w:line="360" w:lineRule="auto"/>
        <w:ind w:firstLine="420" w:firstLineChars="200"/>
        <w:rPr>
          <w:rFonts w:hint="eastAsia" w:ascii="宋体" w:hAnsi="宋体" w:cs="宋体"/>
          <w:b/>
          <w:color w:val="auto"/>
          <w:szCs w:val="21"/>
          <w:highlight w:val="none"/>
        </w:rPr>
      </w:pPr>
      <w:r>
        <w:rPr>
          <w:rFonts w:hint="eastAsia" w:asciiTheme="majorEastAsia" w:hAnsiTheme="majorEastAsia" w:eastAsiaTheme="majorEastAsia" w:cstheme="majorEastAsia"/>
          <w:color w:val="auto"/>
          <w:szCs w:val="21"/>
          <w:highlight w:val="none"/>
        </w:rPr>
        <w:t>3.</w:t>
      </w:r>
      <w:bookmarkEnd w:id="8"/>
      <w:bookmarkEnd w:id="9"/>
      <w:r>
        <w:rPr>
          <w:rFonts w:hint="eastAsia" w:asciiTheme="majorEastAsia" w:hAnsiTheme="majorEastAsia" w:eastAsiaTheme="majorEastAsia" w:cstheme="majorEastAsia"/>
          <w:color w:val="auto"/>
          <w:szCs w:val="21"/>
          <w:highlight w:val="none"/>
        </w:rPr>
        <w:t>中标人和采购人双方共同实施验收工作，结果和验收报告经双方确认后生效。</w:t>
      </w:r>
      <w:r>
        <w:rPr>
          <w:rFonts w:hint="eastAsia" w:ascii="宋体" w:hAnsi="宋体" w:cs="宋体"/>
          <w:color w:val="auto"/>
          <w:szCs w:val="21"/>
          <w:highlight w:val="none"/>
        </w:rPr>
        <w:br w:type="textWrapping"/>
      </w:r>
      <w:r>
        <w:rPr>
          <w:rFonts w:hint="eastAsia" w:ascii="宋体" w:hAnsi="宋体" w:cs="宋体"/>
          <w:b/>
          <w:color w:val="auto"/>
          <w:szCs w:val="21"/>
          <w:highlight w:val="none"/>
        </w:rPr>
        <w:t>五、付款方式</w:t>
      </w:r>
    </w:p>
    <w:bookmarkEnd w:id="0"/>
    <w:bookmarkEnd w:id="1"/>
    <w:p w14:paraId="0054FD43">
      <w:pPr>
        <w:spacing w:line="360" w:lineRule="auto"/>
        <w:ind w:firstLine="420" w:firstLineChars="200"/>
      </w:pPr>
      <w:r>
        <w:rPr>
          <w:rFonts w:hint="eastAsia" w:ascii="宋体" w:hAnsi="宋体" w:cs="宋体"/>
          <w:color w:val="auto"/>
          <w:szCs w:val="21"/>
          <w:highlight w:val="none"/>
        </w:rPr>
        <w:t>设备到达采购人现场，安装调试完成最终验收合格，采购人在30日历天内向中标人支付合同总金额的60%。设备正常运行6个月，采购人在30日历天内向中标人支付合同总金额的30%。设备正常运行免费保修期满后，采购人在30日历天内向中标人一次性付清合同总金额10%。</w:t>
      </w:r>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209F">
    <w:pPr>
      <w:pStyle w:val="3"/>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FD404">
                          <w:pPr>
                            <w:pStyle w:val="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EBFD404">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83858"/>
    <w:multiLevelType w:val="singleLevel"/>
    <w:tmpl w:val="F6A838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B222E"/>
    <w:rsid w:val="04EB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2024-12-10T00:49:00Z</dcterms:created>
  <dc:creator>夷喊姓唐第</dc:creator>
  <cp:lastModifiedBy>夷喊姓唐第</cp:lastModifiedBy>
  <dcterms:modified xsi:type="dcterms:W3CDTF">2024-12-10T00:50:12Z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FCC34B62D78745F0996150084FA4C9C5_11</vt:lpwstr>
  </property>
</Properties>
</file>