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widowControl/>
        <w:spacing w:line="360" w:lineRule="auto"/>
        <w:ind w:firstLine="420" w:firstLineChars="200"/>
        <w:rPr>
          <w:rFonts w:hint="eastAsia"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highlight w:val="none"/>
          <w:lang w:val="en-US" w:eastAsia="zh-CN"/>
        </w:rPr>
      </w:pPr>
      <w:r>
        <w:rPr>
          <w:rFonts w:hint="eastAsia" w:ascii="宋体" w:hAnsi="宋体"/>
          <w:b/>
          <w:bCs/>
          <w:color w:val="auto"/>
          <w:szCs w:val="21"/>
          <w:highlight w:val="none"/>
          <w:lang w:val="en-US" w:eastAsia="zh-CN"/>
        </w:rPr>
        <w:t>2.</w:t>
      </w: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1"/>
        </w:numPr>
        <w:spacing w:line="360" w:lineRule="auto"/>
        <w:ind w:left="210" w:leftChars="0" w:firstLineChars="0"/>
        <w:jc w:val="left"/>
        <w:rPr>
          <w:rFonts w:hint="eastAsia"/>
          <w:b/>
          <w:bCs/>
        </w:rPr>
      </w:pPr>
      <w:r>
        <w:rPr>
          <w:rFonts w:hint="eastAsia"/>
          <w:b/>
          <w:bCs/>
        </w:rPr>
        <w:t>货物需求一览表</w:t>
      </w:r>
    </w:p>
    <w:tbl>
      <w:tblPr>
        <w:tblStyle w:val="5"/>
        <w:tblW w:w="10567" w:type="dxa"/>
        <w:jc w:val="center"/>
        <w:tblLayout w:type="fixed"/>
        <w:tblCellMar>
          <w:top w:w="0" w:type="dxa"/>
          <w:left w:w="108" w:type="dxa"/>
          <w:bottom w:w="0" w:type="dxa"/>
          <w:right w:w="108" w:type="dxa"/>
        </w:tblCellMar>
      </w:tblPr>
      <w:tblGrid>
        <w:gridCol w:w="727"/>
        <w:gridCol w:w="1530"/>
        <w:gridCol w:w="4549"/>
        <w:gridCol w:w="743"/>
        <w:gridCol w:w="1157"/>
        <w:gridCol w:w="1170"/>
        <w:gridCol w:w="691"/>
      </w:tblGrid>
      <w:tr>
        <w:tblPrEx>
          <w:tblCellMar>
            <w:top w:w="0" w:type="dxa"/>
            <w:left w:w="108" w:type="dxa"/>
            <w:bottom w:w="0" w:type="dxa"/>
            <w:right w:w="108" w:type="dxa"/>
          </w:tblCellMar>
        </w:tblPrEx>
        <w:trPr>
          <w:trHeight w:val="634" w:hRule="atLeast"/>
          <w:jc w:val="center"/>
        </w:trPr>
        <w:tc>
          <w:tcPr>
            <w:tcW w:w="72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bookmarkStart w:id="1" w:name="_Hlk96158360"/>
            <w:bookmarkStart w:id="2" w:name="_Hlk106267351"/>
            <w:r>
              <w:rPr>
                <w:rFonts w:hint="eastAsia" w:ascii="宋体" w:hAnsi="宋体" w:cs="宋体"/>
                <w:b/>
                <w:bCs/>
                <w:color w:val="000000"/>
                <w:kern w:val="0"/>
                <w:sz w:val="20"/>
                <w:szCs w:val="20"/>
                <w:lang w:val="en-US" w:eastAsia="zh-CN" w:bidi="ar"/>
              </w:rPr>
              <w:t>序</w:t>
            </w:r>
            <w:r>
              <w:rPr>
                <w:rFonts w:hint="eastAsia" w:ascii="宋体" w:hAnsi="宋体" w:eastAsia="宋体" w:cs="宋体"/>
                <w:b/>
                <w:bCs/>
                <w:color w:val="000000"/>
                <w:kern w:val="0"/>
                <w:sz w:val="20"/>
                <w:szCs w:val="20"/>
                <w:lang w:bidi="ar"/>
              </w:rPr>
              <w:t>号</w:t>
            </w:r>
          </w:p>
        </w:tc>
        <w:tc>
          <w:tcPr>
            <w:tcW w:w="153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454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bidi="ar"/>
              </w:rPr>
              <w:t>技术参数</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单位</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cs="宋体"/>
                <w:b/>
                <w:bCs/>
                <w:color w:val="000000"/>
                <w:kern w:val="0"/>
                <w:sz w:val="20"/>
                <w:szCs w:val="20"/>
                <w:lang w:val="en-US" w:eastAsia="zh-CN" w:bidi="ar"/>
              </w:rPr>
              <w:t>三</w:t>
            </w:r>
            <w:r>
              <w:rPr>
                <w:rFonts w:hint="eastAsia" w:ascii="宋体" w:hAnsi="宋体" w:eastAsia="宋体" w:cs="宋体"/>
                <w:b/>
                <w:bCs/>
                <w:color w:val="000000"/>
                <w:kern w:val="0"/>
                <w:sz w:val="20"/>
                <w:szCs w:val="20"/>
                <w:lang w:bidi="ar"/>
              </w:rPr>
              <w:t>年</w:t>
            </w:r>
            <w:r>
              <w:rPr>
                <w:rFonts w:hint="eastAsia" w:ascii="宋体" w:hAnsi="宋体" w:eastAsia="宋体" w:cs="宋体"/>
                <w:b/>
                <w:bCs/>
                <w:color w:val="000000"/>
                <w:kern w:val="0"/>
                <w:sz w:val="20"/>
                <w:szCs w:val="20"/>
                <w:lang w:val="en-US" w:eastAsia="zh-CN" w:bidi="ar"/>
              </w:rPr>
              <w:t>预估</w:t>
            </w:r>
            <w:r>
              <w:rPr>
                <w:rFonts w:hint="eastAsia" w:ascii="宋体" w:hAnsi="宋体" w:eastAsia="宋体" w:cs="宋体"/>
                <w:b/>
                <w:bCs/>
                <w:color w:val="000000"/>
                <w:kern w:val="0"/>
                <w:sz w:val="20"/>
                <w:szCs w:val="20"/>
                <w:lang w:bidi="ar"/>
              </w:rPr>
              <w:t>使用量</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单价最高限价</w:t>
            </w:r>
            <w:r>
              <w:rPr>
                <w:rFonts w:hint="eastAsia" w:ascii="宋体" w:hAnsi="宋体" w:cs="宋体"/>
                <w:b/>
                <w:bCs/>
                <w:color w:val="000000"/>
                <w:kern w:val="0"/>
                <w:sz w:val="20"/>
                <w:szCs w:val="20"/>
                <w:lang w:val="en-US" w:eastAsia="zh-CN" w:bidi="ar"/>
              </w:rPr>
              <w:t>（元）</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rPr>
              <w:t>1</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sz w:val="20"/>
                <w:szCs w:val="22"/>
                <w:lang w:val="en-US" w:eastAsia="zh-CN"/>
              </w:rPr>
            </w:pPr>
            <w:r>
              <w:rPr>
                <w:rFonts w:hint="eastAsia" w:ascii="宋体" w:hAnsi="宋体" w:eastAsia="宋体" w:cs="宋体"/>
                <w:i w:val="0"/>
                <w:iCs w:val="0"/>
                <w:color w:val="000000"/>
                <w:kern w:val="0"/>
                <w:sz w:val="20"/>
                <w:szCs w:val="20"/>
                <w:u w:val="none"/>
                <w:lang w:val="en-US" w:eastAsia="zh-CN" w:bidi="ar"/>
              </w:rPr>
              <w:t>百日咳杆菌试剂盒</w:t>
            </w:r>
          </w:p>
        </w:tc>
        <w:tc>
          <w:tcPr>
            <w:tcW w:w="4549"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1.试剂盒名称：百日咳杆菌核酸检测试剂盒（PCR-荧光探针法）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2.检测技术平台：基于荧光定量PCR检测技术，适用于 ABI 7500 荧光 PCR 仪、SLAN-96P 全自动医用 PCR 分析系统、Life Technologies QuantStudio TM 5 荧光 PCR 仪、雅睿MA-6000 荧光 PCR 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3.检测样本类型：鼻咽拭子。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★4.核酸提取温度：常温。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★5.检测灵敏度/检测下限：≤400copies/mL。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★6.是否有内标：内源性内标。</w:t>
            </w:r>
          </w:p>
        </w:tc>
        <w:tc>
          <w:tcPr>
            <w:tcW w:w="743"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人份</w:t>
            </w:r>
          </w:p>
        </w:tc>
        <w:tc>
          <w:tcPr>
            <w:tcW w:w="115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2"/>
                <w:lang w:val="en-US" w:eastAsia="zh-CN"/>
              </w:rPr>
            </w:pPr>
            <w:r>
              <w:rPr>
                <w:rFonts w:hint="eastAsia" w:ascii="宋体" w:hAnsi="宋体" w:eastAsia="宋体" w:cs="宋体"/>
                <w:i w:val="0"/>
                <w:iCs w:val="0"/>
                <w:color w:val="000000"/>
                <w:kern w:val="0"/>
                <w:sz w:val="20"/>
                <w:szCs w:val="20"/>
                <w:u w:val="none"/>
                <w:lang w:val="en-US" w:eastAsia="zh-CN" w:bidi="ar"/>
              </w:rPr>
              <w:t>2000</w:t>
            </w:r>
          </w:p>
        </w:tc>
        <w:tc>
          <w:tcPr>
            <w:tcW w:w="117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2"/>
                <w:lang w:val="en-US" w:eastAsia="zh-Hans"/>
              </w:rPr>
            </w:pPr>
            <w:r>
              <w:rPr>
                <w:rFonts w:hint="eastAsia" w:ascii="宋体" w:hAnsi="宋体" w:eastAsia="宋体" w:cs="宋体"/>
                <w:i w:val="0"/>
                <w:iCs w:val="0"/>
                <w:color w:val="000000"/>
                <w:kern w:val="0"/>
                <w:sz w:val="20"/>
                <w:szCs w:val="20"/>
                <w:u w:val="none"/>
                <w:lang w:val="en-US" w:eastAsia="zh-CN" w:bidi="ar"/>
              </w:rPr>
              <w:t>15</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2"/>
                <w:szCs w:val="22"/>
                <w:lang w:val="en-US" w:eastAsia="zh-CN"/>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sz w:val="20"/>
                <w:szCs w:val="22"/>
                <w:lang w:val="en-US" w:eastAsia="zh-CN"/>
              </w:rPr>
            </w:pPr>
            <w:r>
              <w:rPr>
                <w:rFonts w:hint="eastAsia" w:ascii="宋体" w:hAnsi="宋体" w:eastAsia="宋体" w:cs="宋体"/>
                <w:i w:val="0"/>
                <w:iCs w:val="0"/>
                <w:color w:val="000000"/>
                <w:kern w:val="0"/>
                <w:sz w:val="20"/>
                <w:szCs w:val="20"/>
                <w:u w:val="none"/>
                <w:lang w:val="en-US" w:eastAsia="zh-CN" w:bidi="ar"/>
              </w:rPr>
              <w:t>沙眼衣原体/解脲脲原体/淋球菌核酸检测试剂盒</w:t>
            </w:r>
          </w:p>
        </w:tc>
        <w:tc>
          <w:tcPr>
            <w:tcW w:w="4549"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0"/>
                <w:szCs w:val="22"/>
                <w:lang w:val="en-US" w:eastAsia="zh-CN"/>
              </w:rPr>
            </w:pPr>
            <w:r>
              <w:rPr>
                <w:rFonts w:hint="eastAsia" w:ascii="宋体" w:hAnsi="宋体" w:eastAsia="宋体" w:cs="宋体"/>
                <w:i w:val="0"/>
                <w:iCs w:val="0"/>
                <w:color w:val="000000"/>
                <w:kern w:val="0"/>
                <w:sz w:val="20"/>
                <w:szCs w:val="20"/>
                <w:u w:val="none"/>
                <w:lang w:val="en-US" w:eastAsia="zh-CN" w:bidi="ar"/>
              </w:rPr>
              <w:t>1.试剂盒名称：沙眼衣原体/解脲脲原体/淋球菌核酸检测试剂盒（PCR-荧光探针法）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2.检测技术平台：基于荧光定量PCR检测技术，适用于ABI7500荧光PCR仪、SLAN-96P全自动医用PCR分析系统等。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3.检测样本类型：生殖道分泌物。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4.检测灵敏度/检测下限：≤400copies/mL。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★5.核酸提取方法：一步法或磁珠法。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★6.核酸提取温度：常温。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★7.防污染体系：UNG酶+dUTP。</w:t>
            </w:r>
          </w:p>
        </w:tc>
        <w:tc>
          <w:tcPr>
            <w:tcW w:w="7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人份</w:t>
            </w:r>
          </w:p>
        </w:tc>
        <w:tc>
          <w:tcPr>
            <w:tcW w:w="1157" w:type="dxa"/>
            <w:tcBorders>
              <w:top w:val="single" w:color="000000"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2"/>
                <w:lang w:val="en-US" w:eastAsia="zh-CN"/>
              </w:rPr>
            </w:pPr>
            <w:r>
              <w:rPr>
                <w:rFonts w:hint="eastAsia" w:ascii="宋体" w:hAnsi="宋体" w:eastAsia="宋体" w:cs="宋体"/>
                <w:i w:val="0"/>
                <w:iCs w:val="0"/>
                <w:color w:val="000000"/>
                <w:kern w:val="0"/>
                <w:sz w:val="20"/>
                <w:szCs w:val="20"/>
                <w:u w:val="none"/>
                <w:lang w:val="en-US" w:eastAsia="zh-CN" w:bidi="ar"/>
              </w:rPr>
              <w:t>5500</w:t>
            </w:r>
          </w:p>
        </w:tc>
        <w:tc>
          <w:tcPr>
            <w:tcW w:w="117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2"/>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691"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p>
        </w:tc>
      </w:tr>
      <w:tr>
        <w:tblPrEx>
          <w:tblCellMar>
            <w:top w:w="0" w:type="dxa"/>
            <w:left w:w="108" w:type="dxa"/>
            <w:bottom w:w="0" w:type="dxa"/>
            <w:right w:w="108" w:type="dxa"/>
          </w:tblCellMar>
        </w:tblPrEx>
        <w:trPr>
          <w:trHeight w:val="955" w:hRule="atLeast"/>
          <w:jc w:val="center"/>
        </w:trPr>
        <w:tc>
          <w:tcPr>
            <w:tcW w:w="10567"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eastAsia="宋体" w:cs="宋体"/>
              </w:rPr>
            </w:pPr>
            <w:r>
              <w:rPr>
                <w:rFonts w:hint="eastAsia" w:ascii="宋体" w:hAnsi="宋体" w:cs="宋体"/>
                <w:b/>
                <w:bCs/>
                <w:lang w:val="en-US" w:eastAsia="zh-CN"/>
              </w:rPr>
              <w:t>3</w:t>
            </w:r>
            <w:r>
              <w:rPr>
                <w:rFonts w:hint="eastAsia" w:ascii="宋体" w:hAnsi="宋体" w:eastAsia="宋体" w:cs="宋体"/>
                <w:b/>
                <w:bCs/>
              </w:rPr>
              <w:t>.</w:t>
            </w:r>
            <w:r>
              <w:rPr>
                <w:rFonts w:hint="eastAsia" w:ascii="宋体" w:hAnsi="宋体"/>
                <w:b/>
                <w:bCs/>
                <w:color w:val="000000"/>
                <w:sz w:val="21"/>
                <w:szCs w:val="21"/>
              </w:rPr>
              <w:t>标★项</w:t>
            </w:r>
            <w:r>
              <w:rPr>
                <w:rFonts w:hint="eastAsia" w:ascii="宋体" w:hAnsi="宋体"/>
                <w:b/>
                <w:bCs/>
                <w:color w:val="000000"/>
                <w:sz w:val="21"/>
                <w:szCs w:val="21"/>
                <w:lang w:val="en-US" w:eastAsia="zh-CN"/>
              </w:rPr>
              <w:t>参数</w:t>
            </w:r>
            <w:r>
              <w:rPr>
                <w:rFonts w:hint="eastAsia" w:ascii="宋体" w:hAnsi="宋体"/>
                <w:b/>
                <w:bCs/>
                <w:color w:val="000000"/>
                <w:sz w:val="21"/>
                <w:szCs w:val="21"/>
              </w:rPr>
              <w:t>需提供技术证明文件之一（医疗器械注册证、医疗器械注册登记表、第三方检测报告、产品技术白皮书、产品使用说明书）予以证明，未提供或提供的不符合参数要求的按无效标处理。</w:t>
            </w:r>
            <w:r>
              <w:rPr>
                <w:rFonts w:hint="eastAsia" w:ascii="宋体" w:hAnsi="宋体"/>
                <w:b/>
                <w:bCs/>
                <w:color w:val="000000"/>
                <w:sz w:val="21"/>
                <w:szCs w:val="21"/>
                <w:lang w:val="en-US" w:eastAsia="zh-CN"/>
              </w:rPr>
              <w:t>其</w:t>
            </w:r>
            <w:r>
              <w:rPr>
                <w:rFonts w:hint="eastAsia" w:ascii="宋体" w:hAnsi="宋体"/>
                <w:b/>
                <w:bCs/>
                <w:color w:val="000000"/>
                <w:sz w:val="21"/>
                <w:szCs w:val="21"/>
              </w:rPr>
              <w:t>中关于同一技术参数的表述不一致时，相关技术证明文件的效力由高到低顺序依次为医疗器械注册证、医疗器械注册登记表、第三方检测报告、产品技术白皮书、产品使用说明书。</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4.三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5.中标</w:t>
            </w:r>
            <w:r>
              <w:rPr>
                <w:rFonts w:hint="eastAsia" w:ascii="宋体" w:hAnsi="宋体" w:eastAsia="宋体" w:cs="宋体"/>
                <w:lang w:val="en-US" w:eastAsia="zh-CN"/>
              </w:rPr>
              <w:t>人供货价格计算方式如下:最高限价(单价)×</w:t>
            </w:r>
            <w:r>
              <w:rPr>
                <w:rFonts w:hint="eastAsia" w:ascii="宋体" w:hAnsi="宋体" w:cs="宋体"/>
                <w:lang w:val="en-US" w:eastAsia="zh-CN"/>
              </w:rPr>
              <w:t>中标</w:t>
            </w:r>
            <w:r>
              <w:rPr>
                <w:rFonts w:hint="eastAsia" w:ascii="宋体" w:hAnsi="宋体" w:eastAsia="宋体" w:cs="宋体"/>
                <w:lang w:val="en-US" w:eastAsia="zh-CN"/>
              </w:rPr>
              <w:t>费率=供货价格(单价)。如所投产品的安徽省医药集中采购中心平台限价低于该项目供货价格(单价)，则按平台限价(单价)×</w:t>
            </w:r>
            <w:r>
              <w:rPr>
                <w:rFonts w:hint="eastAsia" w:ascii="宋体" w:hAnsi="宋体" w:cs="宋体"/>
                <w:lang w:val="en-US" w:eastAsia="zh-CN"/>
              </w:rPr>
              <w:t>中标</w:t>
            </w:r>
            <w:r>
              <w:rPr>
                <w:rFonts w:hint="eastAsia" w:ascii="宋体" w:hAnsi="宋体" w:eastAsia="宋体" w:cs="宋体"/>
                <w:lang w:val="en-US" w:eastAsia="zh-CN"/>
              </w:rPr>
              <w:t>费率=供货价格(单价)。供货价格（单价）结果保留两位小数。</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6.</w:t>
            </w:r>
            <w:r>
              <w:rPr>
                <w:rFonts w:hint="eastAsia" w:ascii="宋体" w:hAnsi="宋体"/>
                <w:bCs/>
                <w:color w:val="000000"/>
                <w:sz w:val="21"/>
                <w:szCs w:val="21"/>
              </w:rPr>
              <w:t>所有技术参数及要求采购人验收时将逐条核对，如发现与实际情况不符、虚假响应等，采购人有权报监管部门并追究违约责任</w:t>
            </w:r>
            <w:r>
              <w:rPr>
                <w:rFonts w:hint="eastAsia" w:ascii="宋体" w:hAnsi="宋体"/>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eastAsia="宋体" w:cs="宋体"/>
                <w:lang w:val="en-US" w:eastAsia="zh-CN"/>
              </w:rPr>
            </w:pPr>
            <w:r>
              <w:rPr>
                <w:rFonts w:hint="eastAsia" w:ascii="宋体" w:hAnsi="宋体" w:eastAsia="宋体" w:cs="Times New Roman"/>
                <w:b/>
                <w:bCs/>
                <w:color w:val="auto"/>
                <w:kern w:val="2"/>
                <w:sz w:val="21"/>
                <w:szCs w:val="21"/>
                <w:highlight w:val="none"/>
                <w:shd w:val="clear"/>
                <w:lang w:val="en-US" w:eastAsia="zh-CN" w:bidi="ar-SA"/>
              </w:rPr>
              <w:t>本项目采取费率报价模式</w:t>
            </w:r>
            <w:r>
              <w:rPr>
                <w:rFonts w:hint="eastAsia" w:cs="Times New Roman"/>
                <w:b/>
                <w:bCs/>
                <w:color w:val="auto"/>
                <w:kern w:val="2"/>
                <w:sz w:val="21"/>
                <w:szCs w:val="21"/>
                <w:highlight w:val="none"/>
                <w:shd w:val="clear"/>
                <w:lang w:val="en-US" w:eastAsia="zh-CN" w:bidi="ar-SA"/>
              </w:rPr>
              <w:t>，</w:t>
            </w:r>
            <w:r>
              <w:rPr>
                <w:rFonts w:hint="eastAsia" w:ascii="宋体" w:hAnsi="宋体" w:eastAsia="宋体" w:cs="Times New Roman"/>
                <w:b/>
                <w:bCs/>
                <w:color w:val="auto"/>
                <w:kern w:val="2"/>
                <w:sz w:val="21"/>
                <w:szCs w:val="21"/>
                <w:highlight w:val="none"/>
                <w:shd w:val="clear"/>
                <w:lang w:val="en-US" w:eastAsia="zh-CN" w:bidi="ar-SA"/>
              </w:rPr>
              <w:t>最高费率100%。</w:t>
            </w:r>
          </w:p>
        </w:tc>
      </w:tr>
    </w:tbl>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7"/>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预算金额*中标费率</w:t>
      </w:r>
      <w:r>
        <w:rPr>
          <w:rFonts w:hint="eastAsia" w:ascii="宋体" w:hAnsi="宋体" w:cs="宋体"/>
          <w:szCs w:val="21"/>
          <w:highlight w:val="none"/>
          <w:lang w:eastAsia="zh-CN"/>
        </w:rPr>
        <w:t>）</w:t>
      </w:r>
      <w:r>
        <w:rPr>
          <w:rFonts w:hint="eastAsia" w:ascii="宋体" w:hAnsi="宋体" w:cs="宋体"/>
          <w:szCs w:val="21"/>
          <w:highlight w:val="none"/>
        </w:rPr>
        <w:t>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bookmarkStart w:id="3" w:name="_GoBack"/>
      <w:bookmarkEnd w:id="3"/>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bookmarkEnd w:id="1"/>
    <w:bookmarkEnd w:id="2"/>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按医院采购计划，分批配送，按发票开到医院财务后六个月内付款。</w:t>
      </w:r>
    </w:p>
    <w:p>
      <w:pPr>
        <w:spacing w:line="360" w:lineRule="auto"/>
        <w:ind w:firstLine="420" w:firstLineChars="200"/>
      </w:pPr>
      <w:r>
        <w:rPr>
          <w:rFonts w:hint="eastAsia" w:ascii="宋体" w:hAnsi="宋体" w:eastAsia="宋体" w:cs="宋体"/>
          <w:color w:val="auto"/>
          <w:szCs w:val="21"/>
          <w:lang w:eastAsia="zh-CN"/>
        </w:rPr>
        <w:t>付款前，乙方必须提供正规发票，甲方再付款，否则导致不能付款的责任由乙方承担。</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7A705D75"/>
    <w:rsid w:val="06A9693B"/>
    <w:rsid w:val="7A70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2024-12-17T08:11:00Z</dcterms:created>
  <dc:creator>Miss</dc:creator>
  <cp:lastModifiedBy>Miss</cp:lastModifiedBy>
  <dcterms:modified xsi:type="dcterms:W3CDTF">2024-12-17T08:15:06Z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F2D2717CFB524647AB1CD317CF418A54_11</vt:lpwstr>
  </property>
</Properties>
</file>