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bookmarkStart w:id="0" w:name="_Toc25868"/>
      <w:r>
        <w:rPr>
          <w:rFonts w:hint="eastAsia" w:ascii="宋体" w:hAnsi="宋体" w:cs="宋体"/>
          <w:b/>
          <w:kern w:val="2"/>
          <w:sz w:val="32"/>
          <w:szCs w:val="32"/>
          <w:lang w:val="zh-CN" w:eastAsia="zh-CN" w:bidi="ar-SA"/>
        </w:rPr>
        <w:t>采购需求</w:t>
      </w:r>
      <w:bookmarkEnd w:id="0"/>
    </w:p>
    <w:p>
      <w:pPr>
        <w:widowControl/>
        <w:numPr>
          <w:ilvl w:val="0"/>
          <w:numId w:val="1"/>
        </w:numPr>
        <w:spacing w:line="360" w:lineRule="auto"/>
        <w:ind w:left="210" w:leftChars="0" w:firstLineChars="0"/>
        <w:jc w:val="left"/>
        <w:rPr>
          <w:rFonts w:hint="eastAsia"/>
          <w:b/>
          <w:bCs/>
        </w:rPr>
      </w:pPr>
      <w:r>
        <w:rPr>
          <w:rFonts w:hint="eastAsia"/>
          <w:b/>
          <w:bCs/>
          <w:lang w:val="en-US" w:eastAsia="zh-CN"/>
        </w:rPr>
        <w:t>货物需求</w:t>
      </w:r>
    </w:p>
    <w:tbl>
      <w:tblPr>
        <w:tblStyle w:val="2"/>
        <w:tblW w:w="10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1163"/>
        <w:gridCol w:w="5330"/>
        <w:gridCol w:w="714"/>
        <w:gridCol w:w="1043"/>
        <w:gridCol w:w="92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bookmarkStart w:id="1" w:name="_Hlk106267351"/>
            <w:bookmarkStart w:id="2" w:name="_Hlk96158360"/>
            <w:r>
              <w:rPr>
                <w:rFonts w:hint="eastAsia" w:ascii="宋体" w:hAnsi="宋体" w:cs="宋体"/>
                <w:b/>
                <w:color w:val="auto"/>
                <w:kern w:val="0"/>
                <w:sz w:val="20"/>
                <w:szCs w:val="20"/>
                <w:lang w:bidi="ar"/>
              </w:rPr>
              <w:t>序号</w:t>
            </w:r>
          </w:p>
        </w:tc>
        <w:tc>
          <w:tcPr>
            <w:tcW w:w="116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产品名称</w:t>
            </w:r>
          </w:p>
        </w:tc>
        <w:tc>
          <w:tcPr>
            <w:tcW w:w="533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采购需求（技术参数）</w:t>
            </w: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数量</w:t>
            </w:r>
          </w:p>
        </w:tc>
        <w:tc>
          <w:tcPr>
            <w:tcW w:w="10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bCs/>
                <w:i w:val="0"/>
                <w:iCs w:val="0"/>
                <w:color w:val="auto"/>
                <w:kern w:val="0"/>
                <w:sz w:val="20"/>
                <w:szCs w:val="20"/>
                <w:highlight w:val="none"/>
                <w:u w:val="none"/>
                <w:lang w:val="en-US" w:eastAsia="zh-CN" w:bidi="ar"/>
              </w:rPr>
              <w:t>三</w:t>
            </w:r>
            <w:r>
              <w:rPr>
                <w:rFonts w:hint="eastAsia" w:ascii="宋体" w:hAnsi="宋体" w:eastAsia="宋体" w:cs="宋体"/>
                <w:b/>
                <w:bCs/>
                <w:i w:val="0"/>
                <w:iCs w:val="0"/>
                <w:color w:val="auto"/>
                <w:kern w:val="0"/>
                <w:sz w:val="20"/>
                <w:szCs w:val="20"/>
                <w:highlight w:val="none"/>
                <w:u w:val="none"/>
                <w:lang w:val="en-US" w:eastAsia="zh-CN" w:bidi="ar"/>
              </w:rPr>
              <w:t>年预估使用量</w:t>
            </w:r>
          </w:p>
        </w:tc>
        <w:tc>
          <w:tcPr>
            <w:tcW w:w="9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单价限价/元</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cs="宋体"/>
                <w:sz w:val="22"/>
                <w:szCs w:val="28"/>
              </w:rPr>
            </w:pPr>
            <w:r>
              <w:rPr>
                <w:rFonts w:hint="eastAsia" w:ascii="宋体" w:hAnsi="宋体" w:cs="宋体"/>
                <w:sz w:val="22"/>
                <w:szCs w:val="28"/>
              </w:rPr>
              <w:t>1</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2"/>
                <w:szCs w:val="28"/>
              </w:rPr>
            </w:pPr>
            <w:r>
              <w:rPr>
                <w:rFonts w:hint="eastAsia" w:ascii="宋体" w:hAnsi="宋体" w:eastAsia="宋体" w:cs="宋体"/>
                <w:i w:val="0"/>
                <w:iCs w:val="0"/>
                <w:color w:val="000000"/>
                <w:kern w:val="0"/>
                <w:sz w:val="20"/>
                <w:szCs w:val="20"/>
                <w:u w:val="none"/>
                <w:lang w:val="en-US" w:eastAsia="zh-CN" w:bidi="ar"/>
              </w:rPr>
              <w:t>人体定位垫</w:t>
            </w:r>
          </w:p>
        </w:tc>
        <w:tc>
          <w:tcPr>
            <w:tcW w:w="533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sz w:val="21"/>
                <w:szCs w:val="24"/>
              </w:rPr>
            </w:pPr>
            <w:r>
              <w:rPr>
                <w:rFonts w:hint="eastAsia" w:ascii="宋体" w:hAnsi="宋体" w:eastAsia="宋体" w:cs="宋体"/>
                <w:i w:val="0"/>
                <w:iCs w:val="0"/>
                <w:color w:val="000000"/>
                <w:kern w:val="0"/>
                <w:sz w:val="20"/>
                <w:szCs w:val="20"/>
                <w:u w:val="none"/>
                <w:lang w:val="en-US" w:eastAsia="zh-CN" w:bidi="ar"/>
              </w:rPr>
              <w:t>1、产品尺寸：120×80cm、60×60cm等常规规格；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2、填充料采用专用的高密度颗粒进行填充，同时满足放疗病人使用舒适度高、塑形方便快捷、固定效果好、重复摆位精度高的要求；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3、真空垫内可内置固定条与床板适配条进行固定，提高摆位精度；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4、面料采用尼龙复合材料可减少病人热量散发，内部蓝色面料柔软如丝，病人体感舒适；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5、使用专用阀门，气密性能优异，抽气放气方便快捷；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6、抽真空定形后，放置240小时后保持原形不漏气不变形；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7、抽真空定形后在支撑面上均匀选取不少于4个位置，在每个位置上各施加150N的作用力在200mm×100mm面积上持续30S后无塌陷；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8、轻便、可折叠、防水、易清洁；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9、尺寸规格可根据客户需求进行定制，包括长度、宽度、厚度及形状等。</w:t>
            </w:r>
          </w:p>
        </w:tc>
        <w:tc>
          <w:tcPr>
            <w:tcW w:w="714"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9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700</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cs="宋体"/>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eastAsia="宋体" w:cs="宋体"/>
                <w:sz w:val="22"/>
                <w:szCs w:val="28"/>
                <w:lang w:val="en-US" w:eastAsia="zh-CN"/>
              </w:rPr>
            </w:pPr>
            <w:r>
              <w:rPr>
                <w:rFonts w:hint="eastAsia" w:ascii="宋体" w:hAnsi="宋体" w:cs="宋体"/>
                <w:sz w:val="22"/>
                <w:szCs w:val="28"/>
                <w:lang w:val="en-US" w:eastAsia="zh-CN"/>
              </w:rPr>
              <w:t>2</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2"/>
                <w:szCs w:val="28"/>
              </w:rPr>
            </w:pPr>
            <w:r>
              <w:rPr>
                <w:rFonts w:hint="eastAsia" w:ascii="宋体" w:hAnsi="宋体" w:eastAsia="宋体" w:cs="宋体"/>
                <w:i w:val="0"/>
                <w:iCs w:val="0"/>
                <w:color w:val="000000"/>
                <w:kern w:val="0"/>
                <w:sz w:val="20"/>
                <w:szCs w:val="20"/>
                <w:u w:val="none"/>
                <w:lang w:val="en-US" w:eastAsia="zh-CN" w:bidi="ar"/>
              </w:rPr>
              <w:t>U型头模</w:t>
            </w:r>
          </w:p>
        </w:tc>
        <w:tc>
          <w:tcPr>
            <w:tcW w:w="533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sz w:val="21"/>
                <w:szCs w:val="24"/>
              </w:rPr>
            </w:pPr>
            <w:r>
              <w:rPr>
                <w:rFonts w:hint="eastAsia" w:ascii="宋体" w:hAnsi="宋体" w:eastAsia="宋体" w:cs="宋体"/>
                <w:i w:val="0"/>
                <w:iCs w:val="0"/>
                <w:color w:val="000000"/>
                <w:kern w:val="0"/>
                <w:sz w:val="20"/>
                <w:szCs w:val="20"/>
                <w:u w:val="none"/>
                <w:lang w:val="en-US" w:eastAsia="zh-CN" w:bidi="ar"/>
              </w:rPr>
              <w:t>1、适用范围：用于放射治疗过程中患者头部的固定</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2、尺寸：宽度≥255，高度≥270mm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3、厚度：2.4mm，可根据需求提供2.8mm、3.2mm等厚度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4、网孔：36%网孔，可根据需求提供22%网孔、42%网孔以及单孔、单点任意形状、网孔密度的非均匀加强型网孔规格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5、冲孔精度：精密数字控制冲孔机床，保证冲孔精度≤0.02mm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6、材质：低温热塑性材料</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7、软化温度：65～70℃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8、软化时间：70℃水温时≤0.43min</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9、拉伸性能：拉伸塑形时间≥142S，拉伸均匀，手感舒适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10、线性收缩率：线性收缩率≤0.3%，成型后患者二次配戴舒适。</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11、抗粘性：具有抗粘抗菌涂层，能有效防止粘连</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12、抗菌性：抗菌活性＞99.9%</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13、安全性：产品无细胞毒性</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14、产品具有良好生物相容性</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15、硬度：热塑膜硬度能达到≥55D(Shore邵式)</w:t>
            </w:r>
            <w:r>
              <w:rPr>
                <w:rFonts w:hint="eastAsia" w:ascii="宋体" w:hAnsi="宋体" w:cs="宋体"/>
                <w:i w:val="0"/>
                <w:iCs w:val="0"/>
                <w:color w:val="000000"/>
                <w:kern w:val="0"/>
                <w:sz w:val="20"/>
                <w:szCs w:val="20"/>
                <w:u w:val="none"/>
                <w:lang w:val="en-US" w:eastAsia="zh-CN" w:bidi="ar"/>
              </w:rPr>
              <w:t>。</w:t>
            </w:r>
          </w:p>
        </w:tc>
        <w:tc>
          <w:tcPr>
            <w:tcW w:w="714"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9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200</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cs="宋体"/>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eastAsia="宋体" w:cs="宋体"/>
                <w:sz w:val="22"/>
                <w:szCs w:val="28"/>
                <w:lang w:val="en-US" w:eastAsia="zh-CN"/>
              </w:rPr>
            </w:pPr>
            <w:r>
              <w:rPr>
                <w:rFonts w:hint="eastAsia" w:ascii="宋体" w:hAnsi="宋体" w:cs="宋体"/>
                <w:sz w:val="22"/>
                <w:szCs w:val="28"/>
                <w:lang w:val="en-US" w:eastAsia="zh-CN"/>
              </w:rPr>
              <w:t>3</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2"/>
                <w:szCs w:val="28"/>
              </w:rPr>
            </w:pPr>
            <w:r>
              <w:rPr>
                <w:rFonts w:hint="eastAsia" w:ascii="宋体" w:hAnsi="宋体" w:eastAsia="宋体" w:cs="宋体"/>
                <w:i w:val="0"/>
                <w:iCs w:val="0"/>
                <w:color w:val="000000"/>
                <w:kern w:val="0"/>
                <w:sz w:val="20"/>
                <w:szCs w:val="20"/>
                <w:u w:val="none"/>
                <w:lang w:val="en-US" w:eastAsia="zh-CN" w:bidi="ar"/>
              </w:rPr>
              <w:t>头颈肩定位模</w:t>
            </w:r>
          </w:p>
        </w:tc>
        <w:tc>
          <w:tcPr>
            <w:tcW w:w="533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sz w:val="21"/>
                <w:szCs w:val="24"/>
              </w:rPr>
            </w:pPr>
            <w:r>
              <w:rPr>
                <w:rFonts w:hint="eastAsia" w:ascii="宋体" w:hAnsi="宋体" w:eastAsia="宋体" w:cs="宋体"/>
                <w:i w:val="0"/>
                <w:iCs w:val="0"/>
                <w:color w:val="000000"/>
                <w:kern w:val="0"/>
                <w:sz w:val="20"/>
                <w:szCs w:val="20"/>
                <w:u w:val="none"/>
                <w:lang w:val="en-US" w:eastAsia="zh-CN" w:bidi="ar"/>
              </w:rPr>
              <w:t>1、适用范围：用于放射治疗过程中患者头颈肩部的固定</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2、尺寸：宽度≥440㎜，高度≥465mm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3、厚度：2.4mm，可根据需求提供2.8mm、3.2mm等厚度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4、网孔：36%网孔，可根据需求提供22%网孔、42%网孔以及单孔、单点任意形状、网孔密度的非均匀加强型网孔规格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5、冲孔精度：精密数字控制冲孔机床，保证冲孔精度≤0.02mm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6、材质：低温热塑性材料</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、软化温度65～70℃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、软化时间：70℃水温时≤0.43min</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、拉伸性能：拉伸塑形时间≥142S，拉伸均匀，手感舒适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、线性收缩率：线性收缩率≤0.3%，成型后患者二次配戴舒适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、抗粘性：具有抗粘抗菌涂层，能有效防止粘连</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、抗菌性：抗菌活性＞99.9%</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、安全性：产品无细胞毒性</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、产品具有良好生物相容性</w:t>
            </w:r>
            <w:r>
              <w:rPr>
                <w:rFonts w:hint="eastAsia" w:ascii="宋体" w:hAnsi="宋体" w:eastAsia="宋体" w:cs="宋体"/>
                <w:b/>
                <w:bCs/>
                <w:i w:val="0"/>
                <w:iCs w:val="0"/>
                <w:color w:val="000000"/>
                <w:kern w:val="0"/>
                <w:sz w:val="20"/>
                <w:szCs w:val="20"/>
                <w:u w:val="none"/>
                <w:lang w:val="en-US" w:eastAsia="zh-CN" w:bidi="ar"/>
              </w:rPr>
              <w:t>（提供检测报告）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、硬度：热塑膜硬度能达到≥55D(Shore邵式)</w:t>
            </w:r>
            <w:r>
              <w:rPr>
                <w:rFonts w:hint="eastAsia" w:ascii="宋体" w:hAnsi="宋体" w:cs="宋体"/>
                <w:i w:val="0"/>
                <w:iCs w:val="0"/>
                <w:color w:val="000000"/>
                <w:kern w:val="0"/>
                <w:sz w:val="20"/>
                <w:szCs w:val="20"/>
                <w:u w:val="none"/>
                <w:lang w:val="en-US" w:eastAsia="zh-CN" w:bidi="ar"/>
              </w:rPr>
              <w:t>。</w:t>
            </w:r>
          </w:p>
        </w:tc>
        <w:tc>
          <w:tcPr>
            <w:tcW w:w="714"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10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400</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cs="宋体"/>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eastAsia="宋体" w:cs="宋体"/>
                <w:sz w:val="22"/>
                <w:szCs w:val="28"/>
                <w:lang w:val="en-US" w:eastAsia="zh-CN"/>
              </w:rPr>
            </w:pPr>
            <w:r>
              <w:rPr>
                <w:rFonts w:hint="eastAsia" w:ascii="宋体" w:hAnsi="宋体" w:cs="宋体"/>
                <w:sz w:val="22"/>
                <w:szCs w:val="28"/>
                <w:lang w:val="en-US" w:eastAsia="zh-CN"/>
              </w:rPr>
              <w:t>4</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2"/>
                <w:szCs w:val="28"/>
              </w:rPr>
            </w:pPr>
            <w:r>
              <w:rPr>
                <w:rFonts w:hint="eastAsia" w:ascii="宋体" w:hAnsi="宋体" w:eastAsia="宋体" w:cs="宋体"/>
                <w:i w:val="0"/>
                <w:iCs w:val="0"/>
                <w:color w:val="000000"/>
                <w:kern w:val="0"/>
                <w:sz w:val="20"/>
                <w:szCs w:val="20"/>
                <w:u w:val="none"/>
                <w:lang w:val="en-US" w:eastAsia="zh-CN" w:bidi="ar"/>
              </w:rPr>
              <w:t>MARK点</w:t>
            </w:r>
          </w:p>
        </w:tc>
        <w:tc>
          <w:tcPr>
            <w:tcW w:w="533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cs="宋体"/>
                <w:sz w:val="21"/>
                <w:szCs w:val="24"/>
              </w:rPr>
            </w:pPr>
            <w:r>
              <w:rPr>
                <w:rFonts w:hint="eastAsia" w:ascii="宋体" w:hAnsi="宋体" w:eastAsia="宋体" w:cs="宋体"/>
                <w:i w:val="0"/>
                <w:iCs w:val="0"/>
                <w:color w:val="000000"/>
                <w:kern w:val="0"/>
                <w:sz w:val="20"/>
                <w:szCs w:val="20"/>
                <w:u w:val="none"/>
                <w:lang w:val="en-US" w:eastAsia="zh-CN" w:bidi="ar"/>
              </w:rPr>
              <w:t>直径1.5mm，110粒/盒</w:t>
            </w:r>
          </w:p>
        </w:tc>
        <w:tc>
          <w:tcPr>
            <w:tcW w:w="714"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盒</w:t>
            </w:r>
          </w:p>
        </w:tc>
        <w:tc>
          <w:tcPr>
            <w:tcW w:w="10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1000</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
              <w:numPr>
                <w:ilvl w:val="0"/>
                <w:numId w:val="0"/>
              </w:numPr>
              <w:spacing w:beforeLines="0" w:afterLines="0" w:line="360" w:lineRule="auto"/>
              <w:ind w:firstLine="0"/>
              <w:jc w:val="center"/>
              <w:rPr>
                <w:rFonts w:hint="eastAsia" w:ascii="宋体" w:hAnsi="宋体" w:cs="宋体"/>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0230"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3.三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lang w:val="en-US" w:eastAsia="zh-CN"/>
              </w:rPr>
            </w:pPr>
            <w:r>
              <w:rPr>
                <w:rFonts w:hint="eastAsia" w:ascii="宋体" w:hAnsi="宋体" w:cs="宋体"/>
                <w:lang w:val="en-US" w:eastAsia="zh-CN"/>
              </w:rPr>
              <w:t>4.中标</w:t>
            </w:r>
            <w:r>
              <w:rPr>
                <w:rFonts w:hint="eastAsia" w:ascii="宋体" w:hAnsi="宋体" w:eastAsia="宋体" w:cs="宋体"/>
                <w:lang w:val="en-US" w:eastAsia="zh-CN"/>
              </w:rPr>
              <w:t>人供货价格计算方式如下:最高限价(单价)×</w:t>
            </w:r>
            <w:r>
              <w:rPr>
                <w:rFonts w:hint="eastAsia" w:ascii="宋体" w:hAnsi="宋体" w:cs="宋体"/>
                <w:lang w:val="en-US" w:eastAsia="zh-CN"/>
              </w:rPr>
              <w:t>中标</w:t>
            </w:r>
            <w:r>
              <w:rPr>
                <w:rFonts w:hint="eastAsia" w:ascii="宋体" w:hAnsi="宋体" w:eastAsia="宋体" w:cs="宋体"/>
                <w:lang w:val="en-US" w:eastAsia="zh-CN"/>
              </w:rPr>
              <w:t>费率=供货价格(单价)。如所投产品的安徽省医药集中采购中心平台限价低于该项目供货价格(单价)，则按平台限价(单价)×</w:t>
            </w:r>
            <w:r>
              <w:rPr>
                <w:rFonts w:hint="eastAsia" w:ascii="宋体" w:hAnsi="宋体" w:cs="宋体"/>
                <w:lang w:val="en-US" w:eastAsia="zh-CN"/>
              </w:rPr>
              <w:t>中标</w:t>
            </w:r>
            <w:r>
              <w:rPr>
                <w:rFonts w:hint="eastAsia" w:ascii="宋体" w:hAnsi="宋体" w:eastAsia="宋体" w:cs="宋体"/>
                <w:lang w:val="en-US" w:eastAsia="zh-CN"/>
              </w:rPr>
              <w:t>费率=供货价格(单价)。供货价格（单价）结果保留两位小数。</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lang w:val="en-US" w:eastAsia="zh-CN"/>
              </w:rPr>
            </w:pPr>
            <w:r>
              <w:rPr>
                <w:rFonts w:hint="eastAsia" w:ascii="宋体" w:hAnsi="宋体" w:cs="宋体"/>
                <w:lang w:val="en-US" w:eastAsia="zh-CN"/>
              </w:rPr>
              <w:t>5.</w:t>
            </w:r>
            <w:r>
              <w:rPr>
                <w:rFonts w:hint="eastAsia" w:ascii="宋体" w:hAnsi="宋体"/>
                <w:bCs/>
                <w:color w:val="000000"/>
                <w:sz w:val="21"/>
                <w:szCs w:val="21"/>
              </w:rPr>
              <w:t>所有技术参数及要求采购人验收时将逐条核对，如发现与实际情况不符、虚假响应等，采购人有权报监管部门并追究违约责任</w:t>
            </w:r>
            <w:r>
              <w:rPr>
                <w:rFonts w:hint="eastAsia" w:ascii="宋体" w:hAnsi="宋体"/>
                <w:bCs/>
                <w:color w:val="000000"/>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beforeLines="0" w:afterLines="0" w:line="440" w:lineRule="exact"/>
              <w:ind w:firstLine="422" w:firstLineChars="200"/>
              <w:jc w:val="left"/>
              <w:textAlignment w:val="auto"/>
              <w:rPr>
                <w:rFonts w:hint="eastAsia" w:ascii="宋体" w:hAnsi="宋体" w:cs="宋体"/>
                <w:sz w:val="21"/>
                <w:szCs w:val="24"/>
              </w:rPr>
            </w:pPr>
            <w:r>
              <w:rPr>
                <w:rFonts w:hint="eastAsia" w:ascii="宋体" w:hAnsi="宋体" w:eastAsia="宋体" w:cs="Times New Roman"/>
                <w:b/>
                <w:bCs/>
                <w:color w:val="auto"/>
                <w:kern w:val="2"/>
                <w:sz w:val="21"/>
                <w:szCs w:val="21"/>
                <w:highlight w:val="none"/>
                <w:shd w:val="clear"/>
                <w:lang w:val="en-US" w:eastAsia="zh-CN" w:bidi="ar-SA"/>
              </w:rPr>
              <w:t>本项目采取费率报价模式</w:t>
            </w:r>
            <w:r>
              <w:rPr>
                <w:rFonts w:hint="eastAsia" w:cs="Times New Roman"/>
                <w:b/>
                <w:bCs/>
                <w:color w:val="auto"/>
                <w:kern w:val="2"/>
                <w:sz w:val="21"/>
                <w:szCs w:val="21"/>
                <w:highlight w:val="none"/>
                <w:shd w:val="clear"/>
                <w:lang w:val="en-US" w:eastAsia="zh-CN" w:bidi="ar-SA"/>
              </w:rPr>
              <w:t>，</w:t>
            </w:r>
            <w:r>
              <w:rPr>
                <w:rFonts w:hint="eastAsia" w:ascii="宋体" w:hAnsi="宋体" w:eastAsia="宋体" w:cs="Times New Roman"/>
                <w:b/>
                <w:bCs/>
                <w:color w:val="auto"/>
                <w:kern w:val="2"/>
                <w:sz w:val="21"/>
                <w:szCs w:val="21"/>
                <w:highlight w:val="none"/>
                <w:shd w:val="clear"/>
                <w:lang w:val="en-US" w:eastAsia="zh-CN" w:bidi="ar-SA"/>
              </w:rPr>
              <w:t>最高费率100%。</w:t>
            </w:r>
          </w:p>
        </w:tc>
      </w:tr>
      <w:bookmarkEnd w:id="1"/>
      <w:bookmarkEnd w:id="2"/>
    </w:tbl>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w:t>
      </w:r>
      <w:bookmarkStart w:id="3" w:name="_GoBack"/>
      <w:bookmarkEnd w:id="3"/>
      <w:r>
        <w:rPr>
          <w:rFonts w:hint="eastAsia" w:ascii="宋体" w:hAnsi="宋体" w:cs="宋体"/>
          <w:color w:val="auto"/>
          <w:szCs w:val="21"/>
        </w:rPr>
        <w:t>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按医院采购计划，分批配送，按发票开到医院财务后六个月内付款。</w:t>
      </w:r>
    </w:p>
    <w:p>
      <w:pPr>
        <w:spacing w:line="360" w:lineRule="auto"/>
        <w:ind w:firstLine="420" w:firstLineChars="200"/>
      </w:pPr>
      <w:r>
        <w:rPr>
          <w:rFonts w:hint="eastAsia" w:ascii="宋体" w:hAnsi="宋体" w:eastAsia="宋体" w:cs="宋体"/>
          <w:color w:val="auto"/>
          <w:szCs w:val="21"/>
          <w:lang w:eastAsia="zh-CN"/>
        </w:rPr>
        <w:t>付款前，乙方必须提供正规发票，甲方再付款，否则导致不能付款的责任由乙方承担。</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55435826"/>
    <w:rsid w:val="5543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2024-12-24T07:38:00Z</dcterms:created>
  <dc:creator>Miss</dc:creator>
  <cp:lastModifiedBy>Miss</cp:lastModifiedBy>
  <dcterms:modified xsi:type="dcterms:W3CDTF">2024-12-24T07:38:44Z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C967CBBE97E64E4382FC169518B7748B_11</vt:lpwstr>
  </property>
</Properties>
</file>