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4ADE8"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单头</w:t>
      </w:r>
      <w:r>
        <w:rPr>
          <w:rFonts w:hint="eastAsia"/>
          <w:b/>
          <w:bCs/>
          <w:sz w:val="32"/>
          <w:szCs w:val="32"/>
        </w:rPr>
        <w:t>LED手术无影灯</w:t>
      </w:r>
      <w:r>
        <w:rPr>
          <w:rFonts w:hint="eastAsia"/>
          <w:b/>
          <w:bCs/>
          <w:sz w:val="32"/>
          <w:szCs w:val="32"/>
          <w:lang w:val="en-US" w:eastAsia="zh-CN"/>
        </w:rPr>
        <w:t>技术参数</w:t>
      </w:r>
    </w:p>
    <w:p w14:paraId="72070AA3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1、采用先进的LED作为手术照明冷光源，医生头部和伤口区域几乎无温升。</w:t>
      </w:r>
    </w:p>
    <w:p w14:paraId="2D94BC17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2、采用数字方式调控LED的亮度，亮度调节均匀、调节范围广，无频闪。</w:t>
      </w:r>
    </w:p>
    <w:p w14:paraId="5FE1BD8D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3、连续照明：整个无影灯头由80个高亮度白色LED灯泡组成，8个串联成一组，每组相互独立， 若有1组或2组损坏，发生故障，其余的组仍能持续点亮。</w:t>
      </w:r>
    </w:p>
    <w:p w14:paraId="60213DC1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★4、全封闭光滑表面，易清洁、散热效果更佳且符合医院洁净手术部建筑技术规范（提供第三方检测报告）。</w:t>
      </w:r>
    </w:p>
    <w:p w14:paraId="72B930E2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5、发光光源（又称发光引擎模块）的平均使用寿命为不少于50000小时。</w:t>
      </w:r>
    </w:p>
    <w:p w14:paraId="11C97AD1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6、散热设计合理，使LED发光二级管的使用寿命提高，设备的使用时间增加。可消毒的手柄，保证在手术过程中对灯头的操控制处于无菌状态。</w:t>
      </w:r>
    </w:p>
    <w:p w14:paraId="5B522FBD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7、微电脑数字控制，并有记忆功能和电压负反馈控制，使宽电压工作稳定，抗干扰能力强。</w:t>
      </w:r>
    </w:p>
    <w:p w14:paraId="523834BF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8、配置轻巧的平衡臂悬挂系统，移动轻巧，定位稳定。</w:t>
      </w:r>
    </w:p>
    <w:p w14:paraId="5728B02C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9、LED手术灯发出的都为可见光，没有红外紫外部分，使得热量极少。术区温升很小，平均辅照度≤3.6mw/m2 ,国际领先水平。</w:t>
      </w:r>
    </w:p>
    <w:p w14:paraId="6404D77B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11、主要技术参数：</w:t>
      </w:r>
    </w:p>
    <w:p w14:paraId="7B421035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灯头直径：700 mm</w:t>
      </w:r>
    </w:p>
    <w:p w14:paraId="39B82A10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中心照度 ：40000-160000Lx可调</w:t>
      </w:r>
    </w:p>
    <w:p w14:paraId="0F61C10D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光斑直径：≧200mm</w:t>
      </w:r>
    </w:p>
    <w:p w14:paraId="4C3C2EA9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 xml:space="preserve">★光柱深度 ：≧1000mm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>（提供</w:t>
      </w: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省级医疗器械检验所出具的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>检验报告）</w:t>
      </w:r>
    </w:p>
    <w:p w14:paraId="3E512D90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色    温：4000-5000K可调</w:t>
      </w:r>
    </w:p>
    <w:p w14:paraId="533B7C45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显色指数 Ra：≧90</w:t>
      </w:r>
    </w:p>
    <w:p w14:paraId="0DBA9AB8">
      <w:pPr>
        <w:spacing w:line="360" w:lineRule="auto"/>
        <w:ind w:firstLine="482"/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alibri" w:cs="Times New Roman"/>
          <w:sz w:val="24"/>
          <w:szCs w:val="24"/>
          <w:lang w:val="en-US" w:eastAsia="zh-CN"/>
        </w:rPr>
        <w:t>13、基本配置：旋转臂部件  1套、平衡臂  1套、灯头1套、手柄 1个、保险丝 1个</w:t>
      </w:r>
    </w:p>
    <w:p w14:paraId="66DACA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33B94"/>
    <w:rsid w:val="6753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2025-02-07T06:34:00Z</dcterms:created>
  <dc:creator>Attention~</dc:creator>
  <cp:lastModifiedBy>Attention~</cp:lastModifiedBy>
  <dcterms:modified xsi:type="dcterms:W3CDTF">2025-02-07T06:34:37Z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4401FAE19B164410ADE20F00A99255CD_11</vt:lpwstr>
  </property>
  <property fmtid="{D5CDD505-2E9C-101B-9397-08002B2CF9AE}" pid="4" name="KSOTemplateDocerSaveRecord">
    <vt:lpwstr>eyJoZGlkIjoiMzI1NTQ4MjU1ZjVlYWEzNWI4NGVjYzViMGZkMDg0NDUiLCJ1c2VySWQiOiI5NTQxNjM2MjEifQ==</vt:lpwstr>
  </property>
</Properties>
</file>