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jc w:val="center"/>
        <w:outlineLvl w:val="0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货物需求及参数要求</w:t>
      </w:r>
    </w:p>
    <w:p w14:paraId="0F03AEA5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一、货物需求一览表</w:t>
      </w:r>
    </w:p>
    <w:tbl>
      <w:tblPr>
        <w:tblStyle w:val="6"/>
        <w:tblW w:w="9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14"/>
        <w:gridCol w:w="4560"/>
        <w:gridCol w:w="640"/>
        <w:gridCol w:w="1255"/>
        <w:gridCol w:w="1275"/>
      </w:tblGrid>
      <w:tr w14:paraId="791B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4FB8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Hlk106267351"/>
            <w:bookmarkStart w:id="1" w:name="_Hlk9615836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A8C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DE9F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E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D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68E1A9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A3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6F505D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6743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1D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1D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红外线温灸（立式）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E4E93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1、环境温度：5℃-+40℃；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2、电源：AC220V 50HZ；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3、最大输入功率：1200VA；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4、温度控制及误差加热装置的温度应在40℃-60℃可调节，误差≤±10℃；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5、防电击类型；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6、温灸仪含：火灸罐（含灸桶、灸材固定装置、灸座、温度调节装置）。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948FF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2588B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4BBAA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1000元/台</w:t>
            </w:r>
          </w:p>
        </w:tc>
      </w:tr>
      <w:tr w14:paraId="43C2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7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7F0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雷火灸包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6C9A40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1、灸材由艾包、艾片或艾柱制成，有透气胶贴（透气胶贴材质不限）。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A46EA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59B11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150000包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DA7F3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1元/包</w:t>
            </w:r>
          </w:p>
        </w:tc>
      </w:tr>
      <w:tr w14:paraId="2DF9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2.合同期：三年服务期，预估使用量仅供投标人报价时参考，按实结算。</w:t>
            </w:r>
          </w:p>
          <w:p w14:paraId="5F019080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 xml:space="preserve">3.本项目一次性规划，分步实施，按实结算。本项目耗材进入我院SPD管理。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4.所投产品如有两票制要求则须执行两票制相关要求；所投产品如安徽省医药集中采购中心有相关要求，则须执行安徽省医药集中采购中心相关要求。</w:t>
            </w:r>
          </w:p>
          <w:p w14:paraId="5A116A9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5.服务期内如遇国家、省医保带量采购等相关政策调整，需按国家、省医保带量采购等相关政策执行。</w:t>
            </w:r>
          </w:p>
          <w:p w14:paraId="6BCC595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投标人所投产品单价不得高于该产品单价最高限价，否则视为无效响应。</w:t>
            </w:r>
          </w:p>
        </w:tc>
      </w:tr>
    </w:tbl>
    <w:p w14:paraId="52B5B4C2">
      <w:pPr>
        <w:pStyle w:val="8"/>
        <w:shd w:val="clear" w:color="auto" w:fill="FFFFFF"/>
        <w:spacing w:line="360" w:lineRule="auto"/>
        <w:ind w:firstLine="0" w:firstLineChars="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1FE466B9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18457E6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3D1016C8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2D46C1D0">
      <w:pPr>
        <w:pStyle w:val="8"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0E860329">
      <w:pPr>
        <w:pStyle w:val="8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Theme="minorEastAsia" w:hAnsiTheme="minorEastAsia" w:eastAsiaTheme="minorEastAsia"/>
          <w:szCs w:val="21"/>
        </w:rPr>
        <w:t>自合同执行之日起三年或采购费用总额达到中标总价时，以先到者为准，在供货期内按照采购人的要求分批供货，据实结算。</w:t>
      </w:r>
    </w:p>
    <w:p w14:paraId="4633F105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51B21E56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3942BB0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500F04EA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B3C765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099613E6">
      <w:pPr>
        <w:widowControl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5D861BEB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6CC9C84F"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本项目一次性规划，分步实施，按实结算，货到验收合格、收到正规发票后6个月内付款。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7C3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C7C3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156EF"/>
    <w:rsid w:val="256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2025-02-24T09:13:00Z</dcterms:created>
  <dc:creator>兔子爱上了窝边草</dc:creator>
  <cp:lastModifiedBy>兔子爱上了窝边草</cp:lastModifiedBy>
  <dcterms:modified xsi:type="dcterms:W3CDTF">2025-02-24T09:13:56Z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9E42947B2ADD448DB28AF9D67C2C2C7C_11</vt:lpwstr>
  </property>
  <property fmtid="{D5CDD505-2E9C-101B-9397-08002B2CF9AE}" pid="4" name="KSOTemplateDocerSaveRecord">
    <vt:lpwstr>eyJoZGlkIjoiNmViOTI1YjMzNzU1MGU0NTliYzYxY2RiZWM1MzEwMGQiLCJ1c2VySWQiOiIzMTMwNjAzMjEifQ==</vt:lpwstr>
  </property>
</Properties>
</file>