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outlineLvl w:val="0"/>
        <w:rPr>
          <w:rFonts w:hint="eastAsia" w:ascii="宋体" w:hAnsi="宋体" w:cs="宋体"/>
          <w:b/>
          <w:sz w:val="32"/>
          <w:szCs w:val="32"/>
          <w:lang w:val="zh-CN"/>
        </w:rPr>
      </w:pPr>
      <w:bookmarkStart w:id="0" w:name="_Toc25585"/>
      <w:r>
        <w:rPr>
          <w:rFonts w:hint="eastAsia" w:ascii="宋体" w:hAnsi="宋体" w:cs="宋体"/>
          <w:b/>
          <w:sz w:val="32"/>
          <w:szCs w:val="32"/>
          <w:lang w:val="zh-CN"/>
        </w:rPr>
        <w:t>采购需求</w:t>
      </w:r>
      <w:bookmarkEnd w:id="0"/>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b/>
          <w:bCs/>
          <w:color w:val="auto"/>
          <w:szCs w:val="21"/>
          <w:highlight w:val="none"/>
        </w:rPr>
      </w:pPr>
      <w:bookmarkStart w:id="1" w:name="_Toc17641"/>
      <w:bookmarkStart w:id="2" w:name="_Toc54941340"/>
      <w:r>
        <w:rPr>
          <w:rFonts w:hint="eastAsia" w:ascii="宋体" w:hAnsi="宋体"/>
          <w:b/>
          <w:bCs/>
          <w:color w:val="auto"/>
          <w:szCs w:val="21"/>
          <w:highlight w:val="none"/>
        </w:rPr>
        <w:t>所投产品如有两票制要求则须执行两票制相关要求，所投产品如安徽省医药集中采购中心有相关要求，则须执行安徽省医药集中采购中心相关要求(如:在平台配送等)。</w:t>
      </w:r>
    </w:p>
    <w:p>
      <w:pPr>
        <w:widowControl/>
        <w:numPr>
          <w:ilvl w:val="0"/>
          <w:numId w:val="5"/>
        </w:numPr>
        <w:spacing w:line="360" w:lineRule="auto"/>
        <w:ind w:left="210" w:leftChars="0" w:firstLineChars="0"/>
        <w:jc w:val="left"/>
        <w:rPr>
          <w:rFonts w:hint="eastAsia"/>
          <w:b/>
          <w:bCs/>
        </w:rPr>
      </w:pPr>
      <w:r>
        <w:rPr>
          <w:rFonts w:hint="eastAsia"/>
          <w:b/>
          <w:bCs/>
        </w:rPr>
        <w:t>货物需求一览表</w:t>
      </w:r>
    </w:p>
    <w:tbl>
      <w:tblPr>
        <w:tblStyle w:val="62"/>
        <w:tblW w:w="10516" w:type="dxa"/>
        <w:jc w:val="center"/>
        <w:tblLayout w:type="fixed"/>
        <w:tblCellMar>
          <w:top w:w="0" w:type="dxa"/>
          <w:left w:w="108" w:type="dxa"/>
          <w:bottom w:w="0" w:type="dxa"/>
          <w:right w:w="108" w:type="dxa"/>
        </w:tblCellMar>
      </w:tblPr>
      <w:tblGrid>
        <w:gridCol w:w="505"/>
        <w:gridCol w:w="931"/>
        <w:gridCol w:w="1042"/>
        <w:gridCol w:w="4571"/>
        <w:gridCol w:w="600"/>
        <w:gridCol w:w="1154"/>
        <w:gridCol w:w="1113"/>
        <w:gridCol w:w="600"/>
      </w:tblGrid>
      <w:tr>
        <w:tblPrEx>
          <w:tblCellMar>
            <w:top w:w="0" w:type="dxa"/>
            <w:left w:w="108" w:type="dxa"/>
            <w:bottom w:w="0" w:type="dxa"/>
            <w:right w:w="108" w:type="dxa"/>
          </w:tblCellMar>
        </w:tblPrEx>
        <w:trPr>
          <w:trHeight w:val="634" w:hRule="atLeast"/>
          <w:jc w:val="center"/>
        </w:trPr>
        <w:tc>
          <w:tcPr>
            <w:tcW w:w="50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2"/>
                <w:szCs w:val="22"/>
              </w:rPr>
            </w:pPr>
            <w:bookmarkStart w:id="3" w:name="_Hlk106267351"/>
            <w:bookmarkStart w:id="4" w:name="_Hlk96158360"/>
            <w:r>
              <w:rPr>
                <w:rFonts w:hint="eastAsia" w:ascii="宋体" w:hAnsi="宋体" w:cs="宋体"/>
                <w:b/>
                <w:bCs/>
                <w:color w:val="000000"/>
                <w:kern w:val="0"/>
                <w:sz w:val="22"/>
                <w:szCs w:val="22"/>
                <w:lang w:val="en-US" w:eastAsia="zh-CN" w:bidi="ar"/>
              </w:rPr>
              <w:t>序</w:t>
            </w:r>
            <w:r>
              <w:rPr>
                <w:rFonts w:hint="eastAsia" w:ascii="宋体" w:hAnsi="宋体" w:eastAsia="宋体" w:cs="宋体"/>
                <w:b/>
                <w:bCs/>
                <w:color w:val="000000"/>
                <w:kern w:val="0"/>
                <w:sz w:val="22"/>
                <w:szCs w:val="22"/>
                <w:lang w:bidi="ar"/>
              </w:rPr>
              <w:t>号</w:t>
            </w:r>
          </w:p>
        </w:tc>
        <w:tc>
          <w:tcPr>
            <w:tcW w:w="931"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名称</w:t>
            </w:r>
          </w:p>
        </w:tc>
        <w:tc>
          <w:tcPr>
            <w:tcW w:w="104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规格</w:t>
            </w: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技术参数</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bidi="ar"/>
              </w:rPr>
              <w:t>单位</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三年预估使用量</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单价最高限价</w:t>
            </w:r>
            <w:r>
              <w:rPr>
                <w:rFonts w:hint="eastAsia" w:ascii="宋体" w:hAnsi="宋体" w:cs="宋体"/>
                <w:b/>
                <w:bCs/>
                <w:color w:val="000000"/>
                <w:kern w:val="0"/>
                <w:sz w:val="22"/>
                <w:szCs w:val="22"/>
                <w:lang w:val="en-US" w:eastAsia="zh-CN" w:bidi="ar"/>
              </w:rPr>
              <w:t>（元）</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备注</w:t>
            </w:r>
          </w:p>
        </w:tc>
      </w:tr>
      <w:tr>
        <w:tblPrEx>
          <w:tblCellMar>
            <w:top w:w="0" w:type="dxa"/>
            <w:left w:w="108" w:type="dxa"/>
            <w:bottom w:w="0" w:type="dxa"/>
            <w:right w:w="108" w:type="dxa"/>
          </w:tblCellMar>
        </w:tblPrEx>
        <w:trPr>
          <w:trHeight w:val="510"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color w:val="000000"/>
                <w:sz w:val="20"/>
                <w:szCs w:val="20"/>
              </w:rPr>
              <w:t>1</w:t>
            </w:r>
          </w:p>
        </w:tc>
        <w:tc>
          <w:tcPr>
            <w:tcW w:w="9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皮肤清洁膏</w:t>
            </w:r>
          </w:p>
        </w:tc>
        <w:tc>
          <w:tcPr>
            <w:tcW w:w="10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114g/支</w:t>
            </w:r>
          </w:p>
        </w:tc>
        <w:tc>
          <w:tcPr>
            <w:tcW w:w="4571"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产品原材料包括水，氧化铝，1、2丙二醇，聚丙烯酸钠，对羟基苯甲酸甲酯，对羟基苯甲酸丙酯，色素:FD&amp;C Blue 1；FD&amp;C Red40；FD&amp;C Yellow5。</w:t>
            </w:r>
          </w:p>
        </w:tc>
        <w:tc>
          <w:tcPr>
            <w:tcW w:w="60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15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Hans" w:bidi="ar"/>
              </w:rPr>
            </w:pPr>
            <w:r>
              <w:rPr>
                <w:rFonts w:hint="eastAsia" w:ascii="宋体" w:hAnsi="宋体" w:eastAsia="宋体" w:cs="宋体"/>
                <w:i w:val="0"/>
                <w:iCs w:val="0"/>
                <w:color w:val="000000"/>
                <w:kern w:val="0"/>
                <w:sz w:val="20"/>
                <w:szCs w:val="20"/>
                <w:u w:val="none"/>
                <w:lang w:val="en-US" w:eastAsia="zh-CN" w:bidi="ar"/>
              </w:rPr>
              <w:t>72</w:t>
            </w:r>
          </w:p>
        </w:tc>
        <w:tc>
          <w:tcPr>
            <w:tcW w:w="111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w:t>
            </w:r>
          </w:p>
        </w:tc>
        <w:tc>
          <w:tcPr>
            <w:tcW w:w="6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510"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c>
          <w:tcPr>
            <w:tcW w:w="9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一次性贴片电极</w:t>
            </w:r>
          </w:p>
        </w:tc>
        <w:tc>
          <w:tcPr>
            <w:tcW w:w="10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100片/包</w:t>
            </w:r>
          </w:p>
        </w:tc>
        <w:tc>
          <w:tcPr>
            <w:tcW w:w="4571"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贴片尺寸：35mm x23mm外形：方型。导电材料和连接线组成。其中导电材料水凝胶和辅助层组成，不含药物成分。</w:t>
            </w:r>
          </w:p>
        </w:tc>
        <w:tc>
          <w:tcPr>
            <w:tcW w:w="60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115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11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350</w:t>
            </w:r>
          </w:p>
        </w:tc>
        <w:tc>
          <w:tcPr>
            <w:tcW w:w="6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sz w:val="21"/>
                <w:szCs w:val="21"/>
                <w:lang w:val="en-US" w:eastAsia="zh-CN"/>
              </w:rPr>
            </w:pPr>
          </w:p>
        </w:tc>
      </w:tr>
      <w:tr>
        <w:tblPrEx>
          <w:tblCellMar>
            <w:top w:w="0" w:type="dxa"/>
            <w:left w:w="108" w:type="dxa"/>
            <w:bottom w:w="0" w:type="dxa"/>
            <w:right w:w="108" w:type="dxa"/>
          </w:tblCellMar>
        </w:tblPrEx>
        <w:trPr>
          <w:trHeight w:val="510"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9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一次性使用无菌肌电针</w:t>
            </w:r>
          </w:p>
        </w:tc>
        <w:tc>
          <w:tcPr>
            <w:tcW w:w="10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25根/盒</w:t>
            </w:r>
          </w:p>
        </w:tc>
        <w:tc>
          <w:tcPr>
            <w:tcW w:w="4571"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结构及组成：Nr.10.1系列肌电针由针体、针柄、导电端子、隔离套、弹片组成。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材料：肌电针的针体应以OCr18Ni9奥氏体不锈钢材料制成；Nr.10.1系列肌电针：针柄、隔离套材质为塑料、导电端子、弹片由黄铜材料制成。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针体硬度应≥450HV0.2。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针柄：肌电针的针柄应光滑，不得有毛刺。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穿刺力0.35mm（外径）≤0.8N。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针体表面应光滑，不得有明显的伤痕，曲痕、丝纹、麻点等缺陷，其表面粗糙度Ra值应≤0.63um，其余部分表面粗糙度Ra值应≤0.63um。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环氧乙烷残留量：经环氧乙烷灭菌后的肌电针，其环氧乙烷残留量应≤10ug/g。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导电性:肌电针应具有良好的导电性能，直流电阻≤500Ω。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耐腐蚀能力：肌电针应具有良好的耐腐蚀性能。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导电端子与针体绝缘：导电端子和针体外壳之间的绝缘电阻应&gt;2MΩ。</w:t>
            </w:r>
          </w:p>
        </w:tc>
        <w:tc>
          <w:tcPr>
            <w:tcW w:w="60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5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11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1500</w:t>
            </w:r>
          </w:p>
        </w:tc>
        <w:tc>
          <w:tcPr>
            <w:tcW w:w="6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sz w:val="21"/>
                <w:szCs w:val="21"/>
                <w:lang w:val="en-US" w:eastAsia="zh-CN"/>
              </w:rPr>
            </w:pPr>
          </w:p>
        </w:tc>
      </w:tr>
      <w:tr>
        <w:tblPrEx>
          <w:tblCellMar>
            <w:top w:w="0" w:type="dxa"/>
            <w:left w:w="108" w:type="dxa"/>
            <w:bottom w:w="0" w:type="dxa"/>
            <w:right w:w="108" w:type="dxa"/>
          </w:tblCellMar>
        </w:tblPrEx>
        <w:trPr>
          <w:trHeight w:val="955" w:hRule="atLeast"/>
          <w:jc w:val="center"/>
        </w:trPr>
        <w:tc>
          <w:tcPr>
            <w:tcW w:w="10516" w:type="dxa"/>
            <w:gridSpan w:val="8"/>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0"/>
                <w:szCs w:val="20"/>
                <w:highlight w:val="none"/>
              </w:rPr>
            </w:pPr>
            <w:r>
              <w:rPr>
                <w:rFonts w:hint="eastAsia" w:ascii="宋体" w:hAnsi="宋体" w:eastAsia="宋体" w:cs="宋体"/>
                <w:bCs/>
                <w:sz w:val="20"/>
                <w:szCs w:val="20"/>
              </w:rPr>
              <w:t>说明：</w:t>
            </w:r>
          </w:p>
          <w:p>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宋体" w:hAnsi="宋体" w:eastAsia="宋体" w:cs="宋体"/>
                <w:sz w:val="20"/>
                <w:szCs w:val="20"/>
              </w:rPr>
            </w:pPr>
            <w:r>
              <w:rPr>
                <w:rFonts w:hint="eastAsia" w:ascii="宋体" w:hAnsi="宋体" w:cs="宋体"/>
                <w:sz w:val="20"/>
                <w:szCs w:val="20"/>
                <w:lang w:val="en-US" w:eastAsia="zh-CN"/>
              </w:rPr>
              <w:t>1.</w:t>
            </w:r>
            <w:r>
              <w:rPr>
                <w:rFonts w:hint="eastAsia" w:ascii="宋体" w:hAnsi="宋体" w:cs="宋体"/>
                <w:sz w:val="20"/>
                <w:szCs w:val="20"/>
                <w:lang w:eastAsia="zh-CN"/>
              </w:rPr>
              <w:t>投标人</w:t>
            </w:r>
            <w:r>
              <w:rPr>
                <w:rFonts w:hint="eastAsia" w:ascii="宋体" w:hAnsi="宋体" w:eastAsia="宋体" w:cs="宋体"/>
                <w:sz w:val="20"/>
                <w:szCs w:val="20"/>
              </w:rPr>
              <w:t>的</w:t>
            </w:r>
            <w:r>
              <w:rPr>
                <w:rFonts w:hint="eastAsia" w:ascii="宋体" w:hAnsi="宋体" w:cs="宋体"/>
                <w:sz w:val="20"/>
                <w:szCs w:val="20"/>
                <w:lang w:val="en-US" w:eastAsia="zh-CN"/>
              </w:rPr>
              <w:t>投标文件</w:t>
            </w:r>
            <w:r>
              <w:rPr>
                <w:rFonts w:hint="eastAsia" w:ascii="宋体" w:hAnsi="宋体" w:eastAsia="宋体" w:cs="宋体"/>
                <w:sz w:val="20"/>
                <w:szCs w:val="20"/>
              </w:rPr>
              <w:t>必须标明所投货物的品牌与参数，保证原厂正品供货。</w:t>
            </w:r>
          </w:p>
          <w:p>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宋体" w:hAnsi="宋体" w:eastAsia="宋体" w:cs="宋体"/>
                <w:sz w:val="20"/>
                <w:szCs w:val="20"/>
              </w:rPr>
            </w:pPr>
            <w:r>
              <w:rPr>
                <w:rFonts w:hint="eastAsia" w:ascii="宋体" w:hAnsi="宋体" w:cs="宋体"/>
                <w:sz w:val="20"/>
                <w:szCs w:val="20"/>
                <w:lang w:val="en-US" w:eastAsia="zh-CN"/>
              </w:rPr>
              <w:t>2.</w:t>
            </w:r>
            <w:r>
              <w:rPr>
                <w:rFonts w:hint="eastAsia" w:ascii="宋体" w:hAnsi="宋体" w:eastAsia="宋体" w:cs="宋体"/>
                <w:sz w:val="20"/>
                <w:szCs w:val="20"/>
              </w:rPr>
              <w:t>本项目一次性规划，分步实施，按实结算。本项目耗材进入我</w:t>
            </w:r>
            <w:r>
              <w:rPr>
                <w:rFonts w:hint="eastAsia" w:ascii="宋体" w:hAnsi="宋体" w:eastAsia="宋体" w:cs="宋体"/>
                <w:sz w:val="20"/>
                <w:szCs w:val="20"/>
                <w:highlight w:val="none"/>
              </w:rPr>
              <w:t>院SPD管理。服务期内如遇国家、省医保带量采购等相关政策调整，按国家</w:t>
            </w:r>
            <w:r>
              <w:rPr>
                <w:rFonts w:hint="eastAsia" w:ascii="宋体" w:hAnsi="宋体" w:eastAsia="宋体" w:cs="宋体"/>
                <w:sz w:val="20"/>
                <w:szCs w:val="20"/>
              </w:rPr>
              <w:t>、省医保带量采购等相关政策执行。</w:t>
            </w:r>
          </w:p>
          <w:p>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宋体" w:hAnsi="宋体" w:eastAsia="宋体" w:cs="宋体"/>
                <w:sz w:val="20"/>
                <w:szCs w:val="20"/>
              </w:rPr>
            </w:pPr>
            <w:r>
              <w:rPr>
                <w:rFonts w:hint="eastAsia" w:ascii="宋体" w:hAnsi="宋体" w:cs="宋体"/>
                <w:sz w:val="20"/>
                <w:szCs w:val="20"/>
                <w:lang w:val="en-US" w:eastAsia="zh-CN"/>
              </w:rPr>
              <w:t>3</w:t>
            </w:r>
            <w:r>
              <w:rPr>
                <w:rFonts w:hint="eastAsia" w:ascii="宋体" w:hAnsi="宋体" w:eastAsia="宋体" w:cs="宋体"/>
                <w:sz w:val="20"/>
                <w:szCs w:val="20"/>
              </w:rPr>
              <w:t>.</w:t>
            </w:r>
            <w:r>
              <w:rPr>
                <w:rFonts w:hint="eastAsia" w:ascii="宋体" w:hAnsi="宋体" w:cs="宋体"/>
                <w:sz w:val="20"/>
                <w:szCs w:val="20"/>
                <w:lang w:val="en-US" w:eastAsia="zh-CN"/>
              </w:rPr>
              <w:t>三</w:t>
            </w:r>
            <w:r>
              <w:rPr>
                <w:rFonts w:hint="eastAsia" w:ascii="宋体" w:hAnsi="宋体" w:eastAsia="宋体" w:cs="宋体"/>
                <w:sz w:val="20"/>
                <w:szCs w:val="20"/>
              </w:rPr>
              <w:t>年预估使用量仅代表医院过去</w:t>
            </w:r>
            <w:r>
              <w:rPr>
                <w:rFonts w:hint="eastAsia" w:ascii="宋体" w:hAnsi="宋体" w:cs="宋体"/>
                <w:sz w:val="20"/>
                <w:szCs w:val="20"/>
                <w:lang w:val="en-US" w:eastAsia="zh-CN"/>
              </w:rPr>
              <w:t>3</w:t>
            </w:r>
            <w:r>
              <w:rPr>
                <w:rFonts w:hint="eastAsia" w:ascii="宋体" w:hAnsi="宋体" w:eastAsia="宋体" w:cs="宋体"/>
                <w:sz w:val="20"/>
                <w:szCs w:val="20"/>
              </w:rPr>
              <w:t>年使用估量，仅供</w:t>
            </w:r>
            <w:r>
              <w:rPr>
                <w:rFonts w:hint="eastAsia" w:ascii="宋体" w:hAnsi="宋体" w:cs="宋体"/>
                <w:sz w:val="20"/>
                <w:szCs w:val="20"/>
                <w:lang w:eastAsia="zh-CN"/>
              </w:rPr>
              <w:t>投标人</w:t>
            </w:r>
            <w:r>
              <w:rPr>
                <w:rFonts w:hint="eastAsia" w:ascii="宋体" w:hAnsi="宋体" w:eastAsia="宋体" w:cs="宋体"/>
                <w:sz w:val="20"/>
                <w:szCs w:val="20"/>
              </w:rPr>
              <w:t>报价时参考。</w:t>
            </w:r>
          </w:p>
          <w:p>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宋体" w:hAnsi="宋体" w:eastAsia="宋体" w:cs="宋体"/>
                <w:sz w:val="20"/>
                <w:szCs w:val="20"/>
                <w:lang w:val="en-US" w:eastAsia="zh-CN"/>
              </w:rPr>
            </w:pPr>
            <w:r>
              <w:rPr>
                <w:rFonts w:hint="eastAsia" w:ascii="宋体" w:hAnsi="宋体" w:cs="宋体"/>
                <w:sz w:val="20"/>
                <w:szCs w:val="20"/>
                <w:lang w:val="en-US" w:eastAsia="zh-CN"/>
              </w:rPr>
              <w:t>4.中标</w:t>
            </w:r>
            <w:r>
              <w:rPr>
                <w:rFonts w:hint="eastAsia" w:ascii="宋体" w:hAnsi="宋体" w:eastAsia="宋体" w:cs="宋体"/>
                <w:sz w:val="20"/>
                <w:szCs w:val="20"/>
                <w:lang w:val="en-US" w:eastAsia="zh-CN"/>
              </w:rPr>
              <w:t>人供货价格计算方式如下:最高限价(单价)×</w:t>
            </w:r>
            <w:r>
              <w:rPr>
                <w:rFonts w:hint="eastAsia" w:ascii="宋体" w:hAnsi="宋体" w:cs="宋体"/>
                <w:sz w:val="20"/>
                <w:szCs w:val="20"/>
                <w:lang w:val="en-US" w:eastAsia="zh-CN"/>
              </w:rPr>
              <w:t>中标</w:t>
            </w:r>
            <w:r>
              <w:rPr>
                <w:rFonts w:hint="eastAsia" w:ascii="宋体" w:hAnsi="宋体" w:eastAsia="宋体" w:cs="宋体"/>
                <w:sz w:val="20"/>
                <w:szCs w:val="20"/>
                <w:lang w:val="en-US" w:eastAsia="zh-CN"/>
              </w:rPr>
              <w:t>费率=供货价格(单价)。如所投产品的安徽省医药集中采购中心平台限价低于该项目供货价格(单价)，则按平台限价(单价)×</w:t>
            </w:r>
            <w:r>
              <w:rPr>
                <w:rFonts w:hint="eastAsia" w:ascii="宋体" w:hAnsi="宋体" w:cs="宋体"/>
                <w:sz w:val="20"/>
                <w:szCs w:val="20"/>
                <w:lang w:val="en-US" w:eastAsia="zh-CN"/>
              </w:rPr>
              <w:t>中标</w:t>
            </w:r>
            <w:r>
              <w:rPr>
                <w:rFonts w:hint="eastAsia" w:ascii="宋体" w:hAnsi="宋体" w:eastAsia="宋体" w:cs="宋体"/>
                <w:sz w:val="20"/>
                <w:szCs w:val="20"/>
                <w:lang w:val="en-US" w:eastAsia="zh-CN"/>
              </w:rPr>
              <w:t>费率=供货价格(单价)。供货价格（单价）结果保留两位小数。</w:t>
            </w:r>
          </w:p>
          <w:p>
            <w:pPr>
              <w:pStyle w:val="61"/>
              <w:keepNext w:val="0"/>
              <w:keepLines w:val="0"/>
              <w:pageBreakBefore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宋体" w:hAnsi="宋体" w:eastAsia="宋体" w:cs="Times New Roman"/>
                <w:b/>
                <w:bCs/>
                <w:color w:val="auto"/>
                <w:kern w:val="2"/>
                <w:sz w:val="20"/>
                <w:szCs w:val="20"/>
                <w:highlight w:val="none"/>
                <w:shd w:val="clear"/>
                <w:lang w:val="en-US" w:eastAsia="zh-CN" w:bidi="ar-SA"/>
              </w:rPr>
              <w:t>本项目采取费率报价模式</w:t>
            </w:r>
            <w:r>
              <w:rPr>
                <w:rFonts w:hint="eastAsia" w:cs="Times New Roman"/>
                <w:b/>
                <w:bCs/>
                <w:color w:val="auto"/>
                <w:kern w:val="2"/>
                <w:sz w:val="20"/>
                <w:szCs w:val="20"/>
                <w:highlight w:val="none"/>
                <w:shd w:val="clear"/>
                <w:lang w:val="en-US" w:eastAsia="zh-CN" w:bidi="ar-SA"/>
              </w:rPr>
              <w:t>，</w:t>
            </w:r>
            <w:r>
              <w:rPr>
                <w:rFonts w:hint="eastAsia" w:ascii="宋体" w:hAnsi="宋体" w:eastAsia="宋体" w:cs="Times New Roman"/>
                <w:b/>
                <w:bCs/>
                <w:color w:val="auto"/>
                <w:kern w:val="2"/>
                <w:sz w:val="20"/>
                <w:szCs w:val="20"/>
                <w:highlight w:val="none"/>
                <w:shd w:val="clear"/>
                <w:lang w:val="en-US" w:eastAsia="zh-CN" w:bidi="ar-SA"/>
              </w:rPr>
              <w:t>最高费率100%。</w:t>
            </w:r>
          </w:p>
        </w:tc>
      </w:tr>
      <w:bookmarkEnd w:id="3"/>
      <w:bookmarkEnd w:id="4"/>
    </w:tbl>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Cs w:val="21"/>
          <w:lang w:eastAsia="zh-CN"/>
        </w:rPr>
      </w:pPr>
      <w:r>
        <w:rPr>
          <w:rFonts w:hint="eastAsia" w:ascii="宋体" w:hAnsi="宋体" w:eastAsia="宋体" w:cs="宋体"/>
          <w:b/>
          <w:szCs w:val="21"/>
          <w:lang w:eastAsia="zh-CN"/>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2.保证投标产品的质量，其供货时剩余有效期时间不得少于有效期的2/3。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17"/>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eastAsia" w:eastAsiaTheme="minorEastAsia"/>
          <w:lang w:val="en-US" w:eastAsia="zh-CN"/>
        </w:rPr>
      </w:pPr>
      <w:r>
        <w:rPr>
          <w:rFonts w:hint="eastAsia" w:ascii="宋体" w:hAnsi="宋体" w:cs="宋体"/>
          <w:szCs w:val="21"/>
          <w:highlight w:val="none"/>
          <w:lang w:val="en-US" w:eastAsia="zh-CN"/>
        </w:rPr>
        <w:t>自合同执行日起三</w:t>
      </w:r>
      <w:r>
        <w:rPr>
          <w:rFonts w:hint="eastAsia" w:ascii="宋体" w:hAnsi="宋体" w:cs="宋体"/>
          <w:szCs w:val="21"/>
          <w:highlight w:val="none"/>
        </w:rPr>
        <w:t>年或采购费用总额达到本项目总中标价</w:t>
      </w:r>
      <w:r>
        <w:rPr>
          <w:rFonts w:hint="eastAsia" w:ascii="宋体" w:hAnsi="宋体" w:cs="宋体"/>
          <w:szCs w:val="21"/>
          <w:highlight w:val="none"/>
          <w:lang w:eastAsia="zh-CN"/>
        </w:rPr>
        <w:t>（</w:t>
      </w:r>
      <w:r>
        <w:rPr>
          <w:rFonts w:hint="eastAsia" w:ascii="宋体" w:hAnsi="宋体" w:cs="宋体"/>
          <w:szCs w:val="21"/>
          <w:highlight w:val="none"/>
          <w:lang w:val="en-US" w:eastAsia="zh-CN"/>
        </w:rPr>
        <w:t>预算金额*中标费率</w:t>
      </w:r>
      <w:r>
        <w:rPr>
          <w:rFonts w:hint="eastAsia" w:ascii="宋体" w:hAnsi="宋体" w:cs="宋体"/>
          <w:szCs w:val="21"/>
          <w:highlight w:val="none"/>
          <w:lang w:eastAsia="zh-CN"/>
        </w:rPr>
        <w:t>）</w:t>
      </w:r>
      <w:r>
        <w:rPr>
          <w:rFonts w:hint="eastAsia" w:ascii="宋体" w:hAnsi="宋体" w:cs="宋体"/>
          <w:szCs w:val="21"/>
          <w:highlight w:val="none"/>
        </w:rPr>
        <w:t>时，以先到者为准，在供货期内按照采购人的要求分批供货，据实结算</w:t>
      </w:r>
      <w:r>
        <w:rPr>
          <w:rFonts w:hint="eastAsia" w:asciiTheme="minorEastAsia" w:hAnsiTheme="minorEastAsia" w:eastAsiaTheme="minorEastAsia"/>
          <w:color w:val="000000" w:themeColor="text1"/>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1.中标人接到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bookmarkStart w:id="5" w:name="_GoBack"/>
      <w:bookmarkEnd w:id="5"/>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eastAsia="宋体" w:cs="宋体"/>
          <w:b/>
          <w:color w:val="auto"/>
          <w:szCs w:val="21"/>
          <w:lang w:val="en-US" w:eastAsia="zh-CN"/>
        </w:rPr>
        <w:t>六</w:t>
      </w:r>
      <w:r>
        <w:rPr>
          <w:rFonts w:hint="eastAsia" w:ascii="宋体" w:hAnsi="宋体" w:eastAsia="宋体" w:cs="宋体"/>
          <w:b/>
          <w:color w:val="auto"/>
          <w:szCs w:val="21"/>
        </w:rPr>
        <w:t>、付款方式</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cs="宋体"/>
          <w:b/>
          <w:spacing w:val="-4"/>
          <w:kern w:val="0"/>
          <w:szCs w:val="21"/>
        </w:rPr>
      </w:pPr>
      <w:r>
        <w:rPr>
          <w:rFonts w:hint="eastAsia" w:ascii="宋体" w:hAnsi="宋体" w:cs="宋体"/>
          <w:color w:val="auto"/>
          <w:szCs w:val="21"/>
          <w:lang w:eastAsia="zh-CN"/>
        </w:rPr>
        <w:t>合同签订后按甲方计划要求分批供货，按实结算，货到验收合格、收到正规发票后6个月内付款。</w:t>
      </w:r>
      <w:bookmarkEnd w:id="1"/>
      <w:bookmarkEnd w:id="2"/>
    </w:p>
    <w:sectPr>
      <w:footerReference r:id="rId3" w:type="default"/>
      <w:pgSz w:w="11906" w:h="16838"/>
      <w:pgMar w:top="1417" w:right="1247" w:bottom="141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450E"/>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121"/>
    <w:rsid w:val="00153D99"/>
    <w:rsid w:val="00154503"/>
    <w:rsid w:val="001573E9"/>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0F6"/>
    <w:rsid w:val="001B042A"/>
    <w:rsid w:val="001B1D11"/>
    <w:rsid w:val="001B1EF8"/>
    <w:rsid w:val="001B3868"/>
    <w:rsid w:val="001B6DBE"/>
    <w:rsid w:val="001C2583"/>
    <w:rsid w:val="001D0B10"/>
    <w:rsid w:val="001D5967"/>
    <w:rsid w:val="001D757F"/>
    <w:rsid w:val="001D7738"/>
    <w:rsid w:val="001D7BA5"/>
    <w:rsid w:val="001E606E"/>
    <w:rsid w:val="001E7005"/>
    <w:rsid w:val="001F1418"/>
    <w:rsid w:val="002246F5"/>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A7AD3"/>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61BC"/>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76712"/>
    <w:rsid w:val="0088378A"/>
    <w:rsid w:val="0088488C"/>
    <w:rsid w:val="0089181C"/>
    <w:rsid w:val="0089268B"/>
    <w:rsid w:val="0089349A"/>
    <w:rsid w:val="008942BA"/>
    <w:rsid w:val="008943DC"/>
    <w:rsid w:val="008A05DD"/>
    <w:rsid w:val="008A0D30"/>
    <w:rsid w:val="008A2AED"/>
    <w:rsid w:val="008A3516"/>
    <w:rsid w:val="008A4E65"/>
    <w:rsid w:val="008A6402"/>
    <w:rsid w:val="008B0930"/>
    <w:rsid w:val="008C1956"/>
    <w:rsid w:val="008D25FA"/>
    <w:rsid w:val="008D5EF4"/>
    <w:rsid w:val="008E54CF"/>
    <w:rsid w:val="008E5BB6"/>
    <w:rsid w:val="008F24B7"/>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55D"/>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D6018"/>
    <w:rsid w:val="009E1387"/>
    <w:rsid w:val="009E2EEF"/>
    <w:rsid w:val="009E4B82"/>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9556C"/>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475BF"/>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BF60C7"/>
    <w:rsid w:val="00BF70F0"/>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168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082A"/>
    <w:rsid w:val="00DC5038"/>
    <w:rsid w:val="00DC5342"/>
    <w:rsid w:val="00DD336F"/>
    <w:rsid w:val="00DD419A"/>
    <w:rsid w:val="00DD49AC"/>
    <w:rsid w:val="00DE0E6A"/>
    <w:rsid w:val="00DF3FD2"/>
    <w:rsid w:val="00DF4E36"/>
    <w:rsid w:val="00DF5D12"/>
    <w:rsid w:val="00DF7284"/>
    <w:rsid w:val="00E00E6E"/>
    <w:rsid w:val="00E10AEA"/>
    <w:rsid w:val="00E121D7"/>
    <w:rsid w:val="00E12D33"/>
    <w:rsid w:val="00E15E75"/>
    <w:rsid w:val="00E2639A"/>
    <w:rsid w:val="00E27F44"/>
    <w:rsid w:val="00E45139"/>
    <w:rsid w:val="00E476BB"/>
    <w:rsid w:val="00E51A63"/>
    <w:rsid w:val="00E60F28"/>
    <w:rsid w:val="00E64F33"/>
    <w:rsid w:val="00E720BD"/>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22785B"/>
    <w:rsid w:val="014B5201"/>
    <w:rsid w:val="018F280C"/>
    <w:rsid w:val="01DD1261"/>
    <w:rsid w:val="01DD20DB"/>
    <w:rsid w:val="01F1776D"/>
    <w:rsid w:val="01F74ED2"/>
    <w:rsid w:val="02A4044F"/>
    <w:rsid w:val="02A47524"/>
    <w:rsid w:val="02F9494E"/>
    <w:rsid w:val="034C3F47"/>
    <w:rsid w:val="043126E0"/>
    <w:rsid w:val="047B5EED"/>
    <w:rsid w:val="04B468E6"/>
    <w:rsid w:val="04BC3FEE"/>
    <w:rsid w:val="04C579CE"/>
    <w:rsid w:val="04F91C2B"/>
    <w:rsid w:val="05025778"/>
    <w:rsid w:val="05136C33"/>
    <w:rsid w:val="058101E9"/>
    <w:rsid w:val="05DD4740"/>
    <w:rsid w:val="0601228A"/>
    <w:rsid w:val="060F6843"/>
    <w:rsid w:val="06B833C2"/>
    <w:rsid w:val="06D76104"/>
    <w:rsid w:val="07166912"/>
    <w:rsid w:val="076626FE"/>
    <w:rsid w:val="079D243D"/>
    <w:rsid w:val="07F76A95"/>
    <w:rsid w:val="093A7BC5"/>
    <w:rsid w:val="094B2EAA"/>
    <w:rsid w:val="09D34DE1"/>
    <w:rsid w:val="0A333843"/>
    <w:rsid w:val="0A3F71E7"/>
    <w:rsid w:val="0A7C054B"/>
    <w:rsid w:val="0AC34DE5"/>
    <w:rsid w:val="0ACB3F64"/>
    <w:rsid w:val="0AFF17D1"/>
    <w:rsid w:val="0B1E5DA2"/>
    <w:rsid w:val="0BAE3FF6"/>
    <w:rsid w:val="0BE67BA2"/>
    <w:rsid w:val="0C136845"/>
    <w:rsid w:val="0CB30382"/>
    <w:rsid w:val="0CEE5097"/>
    <w:rsid w:val="0D844B1B"/>
    <w:rsid w:val="0DA31D53"/>
    <w:rsid w:val="0DEA7C6A"/>
    <w:rsid w:val="0E6D0C38"/>
    <w:rsid w:val="0EA16002"/>
    <w:rsid w:val="0ED44466"/>
    <w:rsid w:val="0EDF30E4"/>
    <w:rsid w:val="0F242EBB"/>
    <w:rsid w:val="0F2D720E"/>
    <w:rsid w:val="0F3C3479"/>
    <w:rsid w:val="0F736CB4"/>
    <w:rsid w:val="0FD61363"/>
    <w:rsid w:val="10360106"/>
    <w:rsid w:val="10545C7A"/>
    <w:rsid w:val="10D246C9"/>
    <w:rsid w:val="10E04761"/>
    <w:rsid w:val="113C03CA"/>
    <w:rsid w:val="118743B9"/>
    <w:rsid w:val="11E971EE"/>
    <w:rsid w:val="11F87B5C"/>
    <w:rsid w:val="128560F7"/>
    <w:rsid w:val="12BE6C61"/>
    <w:rsid w:val="13641E45"/>
    <w:rsid w:val="136F0CDE"/>
    <w:rsid w:val="144A7B7E"/>
    <w:rsid w:val="14B71F90"/>
    <w:rsid w:val="14CF5677"/>
    <w:rsid w:val="15E24861"/>
    <w:rsid w:val="17445295"/>
    <w:rsid w:val="175A5BA4"/>
    <w:rsid w:val="1806160D"/>
    <w:rsid w:val="18316AE0"/>
    <w:rsid w:val="1892729A"/>
    <w:rsid w:val="189671E0"/>
    <w:rsid w:val="18E84F59"/>
    <w:rsid w:val="19595811"/>
    <w:rsid w:val="195B0CCF"/>
    <w:rsid w:val="1963331A"/>
    <w:rsid w:val="1A05104C"/>
    <w:rsid w:val="1A77355B"/>
    <w:rsid w:val="1ABD518E"/>
    <w:rsid w:val="1B522ECD"/>
    <w:rsid w:val="1B702014"/>
    <w:rsid w:val="1B75684C"/>
    <w:rsid w:val="1BC80A07"/>
    <w:rsid w:val="1C2D398E"/>
    <w:rsid w:val="1C5A616E"/>
    <w:rsid w:val="1CAA04B1"/>
    <w:rsid w:val="1CD203FA"/>
    <w:rsid w:val="1D2C5CCF"/>
    <w:rsid w:val="1D2D5631"/>
    <w:rsid w:val="1D6923E1"/>
    <w:rsid w:val="1D7E40DE"/>
    <w:rsid w:val="1DF06286"/>
    <w:rsid w:val="1E3D63F2"/>
    <w:rsid w:val="1EFC19C5"/>
    <w:rsid w:val="1F5D2A4B"/>
    <w:rsid w:val="1F93589B"/>
    <w:rsid w:val="1F987F3E"/>
    <w:rsid w:val="204E76A8"/>
    <w:rsid w:val="20C90716"/>
    <w:rsid w:val="20D52888"/>
    <w:rsid w:val="211656FA"/>
    <w:rsid w:val="217F179B"/>
    <w:rsid w:val="219F7FA9"/>
    <w:rsid w:val="21E92449"/>
    <w:rsid w:val="21F133FA"/>
    <w:rsid w:val="22B40E56"/>
    <w:rsid w:val="233B157D"/>
    <w:rsid w:val="24350BEC"/>
    <w:rsid w:val="24497549"/>
    <w:rsid w:val="24AD3FD5"/>
    <w:rsid w:val="255B41CD"/>
    <w:rsid w:val="25A93F7B"/>
    <w:rsid w:val="25E00DFC"/>
    <w:rsid w:val="26926505"/>
    <w:rsid w:val="26CF4677"/>
    <w:rsid w:val="26F868E4"/>
    <w:rsid w:val="2728436C"/>
    <w:rsid w:val="27527065"/>
    <w:rsid w:val="279F6AFD"/>
    <w:rsid w:val="28363BC8"/>
    <w:rsid w:val="28D56B7C"/>
    <w:rsid w:val="29001E4B"/>
    <w:rsid w:val="29375507"/>
    <w:rsid w:val="29FC7AA2"/>
    <w:rsid w:val="2A242446"/>
    <w:rsid w:val="2A902C50"/>
    <w:rsid w:val="2AB32B73"/>
    <w:rsid w:val="2B762790"/>
    <w:rsid w:val="2B875A95"/>
    <w:rsid w:val="2BEB6DE3"/>
    <w:rsid w:val="2C2A30EA"/>
    <w:rsid w:val="2C6501B2"/>
    <w:rsid w:val="2CB72E34"/>
    <w:rsid w:val="2CD92DEC"/>
    <w:rsid w:val="2D4F1E09"/>
    <w:rsid w:val="2DBB39A9"/>
    <w:rsid w:val="2DDF5E3D"/>
    <w:rsid w:val="2DF751F3"/>
    <w:rsid w:val="2DFB5CB4"/>
    <w:rsid w:val="2E3968D2"/>
    <w:rsid w:val="2E4E3659"/>
    <w:rsid w:val="2E5D156D"/>
    <w:rsid w:val="2E6B0A76"/>
    <w:rsid w:val="2ECB0D44"/>
    <w:rsid w:val="2ED75A9F"/>
    <w:rsid w:val="2F474DBC"/>
    <w:rsid w:val="2F4768D7"/>
    <w:rsid w:val="2F5842D0"/>
    <w:rsid w:val="2F8E0B2C"/>
    <w:rsid w:val="2FE736EC"/>
    <w:rsid w:val="303F594F"/>
    <w:rsid w:val="30A752A2"/>
    <w:rsid w:val="313A1C72"/>
    <w:rsid w:val="31441B75"/>
    <w:rsid w:val="314B586D"/>
    <w:rsid w:val="317C672F"/>
    <w:rsid w:val="31C00DA6"/>
    <w:rsid w:val="31CE0296"/>
    <w:rsid w:val="31D8203D"/>
    <w:rsid w:val="31DA771B"/>
    <w:rsid w:val="31FB2B51"/>
    <w:rsid w:val="32034DFD"/>
    <w:rsid w:val="324C45D5"/>
    <w:rsid w:val="327E1DF8"/>
    <w:rsid w:val="3328363E"/>
    <w:rsid w:val="337F6FC6"/>
    <w:rsid w:val="33961AE3"/>
    <w:rsid w:val="33F16F60"/>
    <w:rsid w:val="341858C0"/>
    <w:rsid w:val="348712CA"/>
    <w:rsid w:val="357D14E0"/>
    <w:rsid w:val="35B4432A"/>
    <w:rsid w:val="35BD418B"/>
    <w:rsid w:val="35F8221C"/>
    <w:rsid w:val="375743B3"/>
    <w:rsid w:val="375B2CD5"/>
    <w:rsid w:val="3763390A"/>
    <w:rsid w:val="37670C16"/>
    <w:rsid w:val="37682226"/>
    <w:rsid w:val="37F63AB6"/>
    <w:rsid w:val="37FE068E"/>
    <w:rsid w:val="39262D30"/>
    <w:rsid w:val="392E0314"/>
    <w:rsid w:val="3A2101CB"/>
    <w:rsid w:val="3A5C2DAD"/>
    <w:rsid w:val="3B5A2682"/>
    <w:rsid w:val="3C8A392F"/>
    <w:rsid w:val="3C926D5D"/>
    <w:rsid w:val="3D023F8C"/>
    <w:rsid w:val="3D48018B"/>
    <w:rsid w:val="3D7F41D3"/>
    <w:rsid w:val="3D997F87"/>
    <w:rsid w:val="3DF37D79"/>
    <w:rsid w:val="3E340382"/>
    <w:rsid w:val="3E3942CD"/>
    <w:rsid w:val="3E532EF3"/>
    <w:rsid w:val="3E730A19"/>
    <w:rsid w:val="3E7D3FA9"/>
    <w:rsid w:val="3EB76FF8"/>
    <w:rsid w:val="3F366C2F"/>
    <w:rsid w:val="40245436"/>
    <w:rsid w:val="40777328"/>
    <w:rsid w:val="40C32167"/>
    <w:rsid w:val="40F23BB2"/>
    <w:rsid w:val="40FC367E"/>
    <w:rsid w:val="415B0E95"/>
    <w:rsid w:val="41C43066"/>
    <w:rsid w:val="41C84F24"/>
    <w:rsid w:val="41E214AE"/>
    <w:rsid w:val="41E2265E"/>
    <w:rsid w:val="42380803"/>
    <w:rsid w:val="429D5EF4"/>
    <w:rsid w:val="42B45D29"/>
    <w:rsid w:val="42C2426D"/>
    <w:rsid w:val="43456981"/>
    <w:rsid w:val="437B51B1"/>
    <w:rsid w:val="43906743"/>
    <w:rsid w:val="43CE14F2"/>
    <w:rsid w:val="445B4643"/>
    <w:rsid w:val="44D32939"/>
    <w:rsid w:val="451330F9"/>
    <w:rsid w:val="457D18FA"/>
    <w:rsid w:val="45F032F0"/>
    <w:rsid w:val="46210ED7"/>
    <w:rsid w:val="462D37C9"/>
    <w:rsid w:val="467A1037"/>
    <w:rsid w:val="475204DD"/>
    <w:rsid w:val="47E979D7"/>
    <w:rsid w:val="482A4D97"/>
    <w:rsid w:val="482B1F40"/>
    <w:rsid w:val="493073E5"/>
    <w:rsid w:val="49B02CBC"/>
    <w:rsid w:val="4A2145CA"/>
    <w:rsid w:val="4A7E3CF4"/>
    <w:rsid w:val="4B154506"/>
    <w:rsid w:val="4B2E23F0"/>
    <w:rsid w:val="4B367F93"/>
    <w:rsid w:val="4B5A5658"/>
    <w:rsid w:val="4B673262"/>
    <w:rsid w:val="4C2869FC"/>
    <w:rsid w:val="4C815910"/>
    <w:rsid w:val="4CE52F83"/>
    <w:rsid w:val="4D3554D2"/>
    <w:rsid w:val="4D6E513D"/>
    <w:rsid w:val="4DD00FA2"/>
    <w:rsid w:val="4E225DBE"/>
    <w:rsid w:val="4E2C5D94"/>
    <w:rsid w:val="4EEF501A"/>
    <w:rsid w:val="512B026F"/>
    <w:rsid w:val="516D7533"/>
    <w:rsid w:val="51C01925"/>
    <w:rsid w:val="523217F0"/>
    <w:rsid w:val="53083C4A"/>
    <w:rsid w:val="53282ABD"/>
    <w:rsid w:val="538C5F16"/>
    <w:rsid w:val="53A034C7"/>
    <w:rsid w:val="53EB6204"/>
    <w:rsid w:val="54190C85"/>
    <w:rsid w:val="5464741F"/>
    <w:rsid w:val="547075D6"/>
    <w:rsid w:val="54C315C8"/>
    <w:rsid w:val="54DF07ED"/>
    <w:rsid w:val="54FF3AD6"/>
    <w:rsid w:val="559D4986"/>
    <w:rsid w:val="559E35BC"/>
    <w:rsid w:val="55AA2FBB"/>
    <w:rsid w:val="569D0B8E"/>
    <w:rsid w:val="56DF1904"/>
    <w:rsid w:val="56EE232A"/>
    <w:rsid w:val="56FE711B"/>
    <w:rsid w:val="576C677A"/>
    <w:rsid w:val="57793128"/>
    <w:rsid w:val="579F706F"/>
    <w:rsid w:val="57B64EDC"/>
    <w:rsid w:val="57B679F5"/>
    <w:rsid w:val="58AE5938"/>
    <w:rsid w:val="58EA3EBC"/>
    <w:rsid w:val="59262959"/>
    <w:rsid w:val="592B2C50"/>
    <w:rsid w:val="59A65848"/>
    <w:rsid w:val="5AC92D10"/>
    <w:rsid w:val="5AD6220A"/>
    <w:rsid w:val="5B1927DE"/>
    <w:rsid w:val="5B302BB2"/>
    <w:rsid w:val="5B3E5BFD"/>
    <w:rsid w:val="5B8002C1"/>
    <w:rsid w:val="5BB406F0"/>
    <w:rsid w:val="5BB4682B"/>
    <w:rsid w:val="5BF255C4"/>
    <w:rsid w:val="5BFA2590"/>
    <w:rsid w:val="5C021B38"/>
    <w:rsid w:val="5C2C5C63"/>
    <w:rsid w:val="5CAD0E6B"/>
    <w:rsid w:val="5D004C18"/>
    <w:rsid w:val="5D570CFE"/>
    <w:rsid w:val="5D752454"/>
    <w:rsid w:val="5D79399F"/>
    <w:rsid w:val="5DD92CFB"/>
    <w:rsid w:val="5E394721"/>
    <w:rsid w:val="5EA91607"/>
    <w:rsid w:val="5EB20580"/>
    <w:rsid w:val="5F0E6369"/>
    <w:rsid w:val="5F1F2324"/>
    <w:rsid w:val="5F9018E4"/>
    <w:rsid w:val="5FC15189"/>
    <w:rsid w:val="600B58E7"/>
    <w:rsid w:val="603E4967"/>
    <w:rsid w:val="603F04A3"/>
    <w:rsid w:val="605C25B1"/>
    <w:rsid w:val="607B1FFF"/>
    <w:rsid w:val="607C5DF7"/>
    <w:rsid w:val="608002A2"/>
    <w:rsid w:val="608C4489"/>
    <w:rsid w:val="611D070A"/>
    <w:rsid w:val="614F7E1C"/>
    <w:rsid w:val="61BA4586"/>
    <w:rsid w:val="6202002B"/>
    <w:rsid w:val="621A6DD3"/>
    <w:rsid w:val="6271541F"/>
    <w:rsid w:val="629C1E11"/>
    <w:rsid w:val="62D13DCC"/>
    <w:rsid w:val="631559FD"/>
    <w:rsid w:val="634424EB"/>
    <w:rsid w:val="637A0055"/>
    <w:rsid w:val="63891945"/>
    <w:rsid w:val="639860B9"/>
    <w:rsid w:val="641E2BAA"/>
    <w:rsid w:val="64C53799"/>
    <w:rsid w:val="64DA4DC9"/>
    <w:rsid w:val="64DB064A"/>
    <w:rsid w:val="65A915AA"/>
    <w:rsid w:val="66BD0545"/>
    <w:rsid w:val="66C85368"/>
    <w:rsid w:val="67322189"/>
    <w:rsid w:val="67E71B6D"/>
    <w:rsid w:val="68907DEF"/>
    <w:rsid w:val="68C448EF"/>
    <w:rsid w:val="68CD326E"/>
    <w:rsid w:val="69120CB6"/>
    <w:rsid w:val="69BE41E9"/>
    <w:rsid w:val="6ACD1051"/>
    <w:rsid w:val="6B074824"/>
    <w:rsid w:val="6B315A3D"/>
    <w:rsid w:val="6B69597E"/>
    <w:rsid w:val="6BD749FF"/>
    <w:rsid w:val="6C094140"/>
    <w:rsid w:val="6C485F7C"/>
    <w:rsid w:val="6C647589"/>
    <w:rsid w:val="6CB00A5F"/>
    <w:rsid w:val="6CEE00E2"/>
    <w:rsid w:val="6D61130D"/>
    <w:rsid w:val="6DA43DCA"/>
    <w:rsid w:val="6ECA0980"/>
    <w:rsid w:val="6FBB10C2"/>
    <w:rsid w:val="6FF8227C"/>
    <w:rsid w:val="70310798"/>
    <w:rsid w:val="70626FA0"/>
    <w:rsid w:val="708A5434"/>
    <w:rsid w:val="709122BC"/>
    <w:rsid w:val="70D25448"/>
    <w:rsid w:val="70F63CBF"/>
    <w:rsid w:val="717B478B"/>
    <w:rsid w:val="71E46044"/>
    <w:rsid w:val="71EE7F33"/>
    <w:rsid w:val="72013802"/>
    <w:rsid w:val="72A050D2"/>
    <w:rsid w:val="72F378F8"/>
    <w:rsid w:val="73013DC3"/>
    <w:rsid w:val="734E77A9"/>
    <w:rsid w:val="738E335A"/>
    <w:rsid w:val="73A017A5"/>
    <w:rsid w:val="73C573AD"/>
    <w:rsid w:val="741D486E"/>
    <w:rsid w:val="74275AAB"/>
    <w:rsid w:val="745F3223"/>
    <w:rsid w:val="74793927"/>
    <w:rsid w:val="74862826"/>
    <w:rsid w:val="74932F1B"/>
    <w:rsid w:val="75910B38"/>
    <w:rsid w:val="75C16B30"/>
    <w:rsid w:val="763007E8"/>
    <w:rsid w:val="768C364E"/>
    <w:rsid w:val="77095CC9"/>
    <w:rsid w:val="779C5280"/>
    <w:rsid w:val="77C356D5"/>
    <w:rsid w:val="78430A3F"/>
    <w:rsid w:val="78670889"/>
    <w:rsid w:val="786C43D6"/>
    <w:rsid w:val="78A72A5B"/>
    <w:rsid w:val="7924080B"/>
    <w:rsid w:val="7940553B"/>
    <w:rsid w:val="7AE07019"/>
    <w:rsid w:val="7AFD4FEE"/>
    <w:rsid w:val="7B2B054A"/>
    <w:rsid w:val="7B2B25B6"/>
    <w:rsid w:val="7BD365A2"/>
    <w:rsid w:val="7CE7227B"/>
    <w:rsid w:val="7D0F62DF"/>
    <w:rsid w:val="7E0218C5"/>
    <w:rsid w:val="7E3F7DA6"/>
    <w:rsid w:val="7E455529"/>
    <w:rsid w:val="7EBE04CB"/>
    <w:rsid w:val="7EFD423B"/>
    <w:rsid w:val="7F144E7E"/>
    <w:rsid w:val="7F5D712A"/>
    <w:rsid w:val="7F6D15BA"/>
    <w:rsid w:val="7F8F1EB3"/>
    <w:rsid w:val="7FA45F2A"/>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7"/>
    <w:link w:val="92"/>
    <w:qFormat/>
    <w:uiPriority w:val="0"/>
    <w:pPr>
      <w:keepNext/>
      <w:keepLines/>
      <w:spacing w:before="120" w:after="120"/>
      <w:outlineLvl w:val="3"/>
    </w:pPr>
    <w:rPr>
      <w:rFonts w:ascii="Arial" w:hAnsi="Arial" w:eastAsia="黑体"/>
      <w:b/>
      <w:sz w:val="20"/>
    </w:rPr>
  </w:style>
  <w:style w:type="paragraph" w:styleId="8">
    <w:name w:val="heading 5"/>
    <w:basedOn w:val="1"/>
    <w:next w:val="7"/>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1"/>
    <w:qFormat/>
    <w:uiPriority w:val="0"/>
    <w:pPr>
      <w:keepNext/>
      <w:keepLines/>
      <w:spacing w:before="240" w:after="64" w:line="319" w:lineRule="auto"/>
      <w:outlineLvl w:val="6"/>
    </w:pPr>
    <w:rPr>
      <w:b/>
      <w:bCs/>
      <w:sz w:val="24"/>
      <w:szCs w:val="24"/>
    </w:rPr>
  </w:style>
  <w:style w:type="paragraph" w:styleId="11">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0"/>
    <w:qFormat/>
    <w:uiPriority w:val="0"/>
    <w:rPr>
      <w:rFonts w:ascii="楷体_GB2312" w:hAnsi="Arial" w:eastAsia="楷体_GB2312"/>
      <w:sz w:val="20"/>
    </w:rPr>
  </w:style>
  <w:style w:type="paragraph" w:styleId="7">
    <w:name w:val="Normal Indent"/>
    <w:basedOn w:val="1"/>
    <w:next w:val="1"/>
    <w:link w:val="423"/>
    <w:qFormat/>
    <w:uiPriority w:val="0"/>
    <w:pPr>
      <w:ind w:firstLine="420"/>
    </w:pPr>
  </w:style>
  <w:style w:type="paragraph" w:styleId="13">
    <w:name w:val="List 3"/>
    <w:basedOn w:val="1"/>
    <w:qFormat/>
    <w:uiPriority w:val="0"/>
    <w:pPr>
      <w:ind w:left="1260" w:hanging="420"/>
    </w:pPr>
  </w:style>
  <w:style w:type="paragraph" w:styleId="14">
    <w:name w:val="toc 7"/>
    <w:basedOn w:val="1"/>
    <w:next w:val="1"/>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qFormat/>
    <w:uiPriority w:val="0"/>
    <w:pPr>
      <w:ind w:left="1680"/>
    </w:pPr>
  </w:style>
  <w:style w:type="paragraph" w:styleId="19">
    <w:name w:val="Document Map"/>
    <w:basedOn w:val="1"/>
    <w:link w:val="200"/>
    <w:qFormat/>
    <w:uiPriority w:val="0"/>
    <w:pPr>
      <w:shd w:val="clear" w:color="auto" w:fill="000080"/>
    </w:pPr>
    <w:rPr>
      <w:rFonts w:ascii="宋体"/>
      <w:sz w:val="18"/>
      <w:szCs w:val="18"/>
    </w:rPr>
  </w:style>
  <w:style w:type="paragraph" w:styleId="20">
    <w:name w:val="annotation text"/>
    <w:basedOn w:val="1"/>
    <w:link w:val="132"/>
    <w:qFormat/>
    <w:uiPriority w:val="99"/>
    <w:pPr>
      <w:jc w:val="left"/>
    </w:pPr>
    <w:rPr>
      <w:sz w:val="20"/>
    </w:rPr>
  </w:style>
  <w:style w:type="paragraph" w:styleId="21">
    <w:name w:val="index 6"/>
    <w:basedOn w:val="1"/>
    <w:next w:val="1"/>
    <w:qFormat/>
    <w:uiPriority w:val="0"/>
    <w:pPr>
      <w:ind w:left="2100"/>
    </w:pPr>
  </w:style>
  <w:style w:type="paragraph" w:styleId="22">
    <w:name w:val="Salutation"/>
    <w:basedOn w:val="1"/>
    <w:next w:val="1"/>
    <w:link w:val="196"/>
    <w:qFormat/>
    <w:uiPriority w:val="0"/>
    <w:rPr>
      <w:rFonts w:ascii="仿宋_GB2312" w:eastAsia="仿宋_GB2312"/>
      <w:sz w:val="20"/>
    </w:rPr>
  </w:style>
  <w:style w:type="paragraph" w:styleId="23">
    <w:name w:val="Body Text 3"/>
    <w:basedOn w:val="1"/>
    <w:link w:val="93"/>
    <w:qFormat/>
    <w:uiPriority w:val="0"/>
    <w:rPr>
      <w:rFonts w:ascii="仿宋_GB2312" w:hAnsi="Arial" w:eastAsia="仿宋_GB2312"/>
      <w:sz w:val="20"/>
    </w:rPr>
  </w:style>
  <w:style w:type="paragraph" w:styleId="24">
    <w:name w:val="Body Text Indent"/>
    <w:basedOn w:val="1"/>
    <w:next w:val="25"/>
    <w:link w:val="173"/>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List 2"/>
    <w:basedOn w:val="1"/>
    <w:qFormat/>
    <w:uiPriority w:val="0"/>
    <w:pPr>
      <w:ind w:left="100" w:leftChars="200" w:hanging="200" w:hangingChars="200"/>
    </w:pPr>
  </w:style>
  <w:style w:type="paragraph" w:styleId="27">
    <w:name w:val="Block Text"/>
    <w:basedOn w:val="1"/>
    <w:qFormat/>
    <w:uiPriority w:val="99"/>
    <w:pPr>
      <w:spacing w:after="120"/>
      <w:ind w:left="1440" w:leftChars="700" w:right="700" w:rightChars="700"/>
    </w:pPr>
    <w:rPr>
      <w:rFonts w:ascii="Calibri" w:hAnsi="Calibri"/>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next w:val="1"/>
    <w:link w:val="125"/>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4"/>
    <w:qFormat/>
    <w:uiPriority w:val="0"/>
    <w:pPr>
      <w:ind w:left="100" w:leftChars="2500"/>
    </w:pPr>
    <w:rPr>
      <w:sz w:val="20"/>
    </w:rPr>
  </w:style>
  <w:style w:type="paragraph" w:styleId="35">
    <w:name w:val="Body Text Indent 2"/>
    <w:basedOn w:val="1"/>
    <w:link w:val="167"/>
    <w:qFormat/>
    <w:uiPriority w:val="0"/>
    <w:pPr>
      <w:ind w:left="630" w:firstLine="645"/>
    </w:pPr>
    <w:rPr>
      <w:sz w:val="20"/>
    </w:rPr>
  </w:style>
  <w:style w:type="paragraph" w:styleId="36">
    <w:name w:val="endnote text"/>
    <w:basedOn w:val="1"/>
    <w:link w:val="210"/>
    <w:qFormat/>
    <w:uiPriority w:val="0"/>
    <w:pPr>
      <w:snapToGrid w:val="0"/>
      <w:jc w:val="left"/>
    </w:pPr>
    <w:rPr>
      <w:kern w:val="0"/>
      <w:sz w:val="24"/>
      <w:szCs w:val="24"/>
    </w:rPr>
  </w:style>
  <w:style w:type="paragraph" w:styleId="37">
    <w:name w:val="Balloon Text"/>
    <w:basedOn w:val="1"/>
    <w:link w:val="209"/>
    <w:qFormat/>
    <w:uiPriority w:val="0"/>
    <w:rPr>
      <w:sz w:val="18"/>
      <w:szCs w:val="18"/>
    </w:rPr>
  </w:style>
  <w:style w:type="paragraph" w:styleId="38">
    <w:name w:val="footer"/>
    <w:basedOn w:val="1"/>
    <w:link w:val="202"/>
    <w:qFormat/>
    <w:uiPriority w:val="0"/>
    <w:pPr>
      <w:tabs>
        <w:tab w:val="center" w:pos="4153"/>
        <w:tab w:val="right" w:pos="8306"/>
      </w:tabs>
      <w:snapToGrid w:val="0"/>
      <w:jc w:val="left"/>
    </w:pPr>
    <w:rPr>
      <w:sz w:val="18"/>
      <w:szCs w:val="18"/>
    </w:rPr>
  </w:style>
  <w:style w:type="paragraph" w:styleId="39">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7"/>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7"/>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7"/>
    <w:qFormat/>
    <w:uiPriority w:val="0"/>
    <w:pPr>
      <w:widowControl/>
      <w:jc w:val="center"/>
    </w:pPr>
    <w:rPr>
      <w:rFonts w:ascii="楷体_GB2312" w:eastAsia="楷体_GB2312"/>
      <w:sz w:val="20"/>
    </w:rPr>
  </w:style>
  <w:style w:type="paragraph" w:styleId="55">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0"/>
    <w:next w:val="20"/>
    <w:link w:val="148"/>
    <w:qFormat/>
    <w:uiPriority w:val="0"/>
    <w:rPr>
      <w:b/>
      <w:bCs/>
    </w:rPr>
  </w:style>
  <w:style w:type="paragraph" w:styleId="60">
    <w:name w:val="Body Text First Indent"/>
    <w:basedOn w:val="2"/>
    <w:next w:val="1"/>
    <w:link w:val="109"/>
    <w:qFormat/>
    <w:uiPriority w:val="0"/>
    <w:pPr>
      <w:spacing w:after="120"/>
      <w:ind w:firstLine="420" w:firstLineChars="100"/>
    </w:pPr>
    <w:rPr>
      <w:rFonts w:ascii="Times New Roman" w:hAnsi="Times New Roman" w:eastAsia="宋体"/>
      <w:sz w:val="24"/>
      <w:szCs w:val="24"/>
    </w:rPr>
  </w:style>
  <w:style w:type="paragraph" w:styleId="61">
    <w:name w:val="Body Text First Indent 2"/>
    <w:basedOn w:val="24"/>
    <w:next w:val="1"/>
    <w:unhideWhenUsed/>
    <w:qFormat/>
    <w:uiPriority w:val="99"/>
    <w:pPr>
      <w:ind w:firstLine="420"/>
    </w:pPr>
    <w:rPr>
      <w:rFonts w:eastAsia="楷体_GB2312"/>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8"/>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5"/>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6"/>
    <w:qFormat/>
    <w:uiPriority w:val="0"/>
    <w:rPr>
      <w:rFonts w:ascii="Arial" w:hAnsi="Arial" w:eastAsia="黑体" w:cs="Times New Roman"/>
      <w:b/>
      <w:sz w:val="20"/>
      <w:szCs w:val="20"/>
    </w:rPr>
  </w:style>
  <w:style w:type="character" w:customStyle="1" w:styleId="93">
    <w:name w:val="正文文本 3 字符"/>
    <w:basedOn w:val="64"/>
    <w:link w:val="23"/>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0"/>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8"/>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1"/>
    <w:qFormat/>
    <w:uiPriority w:val="99"/>
    <w:rPr>
      <w:rFonts w:ascii="宋体" w:hAnsi="Courier New" w:cs="Courier New"/>
      <w:kern w:val="2"/>
      <w:sz w:val="21"/>
      <w:szCs w:val="21"/>
    </w:rPr>
  </w:style>
  <w:style w:type="character" w:customStyle="1" w:styleId="126">
    <w:name w:val="标题 6 字符"/>
    <w:basedOn w:val="64"/>
    <w:link w:val="9"/>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20"/>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0"/>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6"/>
    <w:qFormat/>
    <w:uiPriority w:val="0"/>
    <w:rPr>
      <w:rFonts w:ascii="Times New Roman" w:hAnsi="Times New Roman" w:eastAsia="宋体" w:cs="Times New Roman"/>
      <w:sz w:val="18"/>
      <w:szCs w:val="18"/>
    </w:rPr>
  </w:style>
  <w:style w:type="character" w:customStyle="1" w:styleId="138">
    <w:name w:val="页眉 字符"/>
    <w:basedOn w:val="64"/>
    <w:link w:val="39"/>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10"/>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4"/>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59"/>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7"/>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1"/>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2"/>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4"/>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5"/>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5"/>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24"/>
    <w:qFormat/>
    <w:uiPriority w:val="0"/>
    <w:rPr>
      <w:rFonts w:ascii="Times New Roman" w:hAnsi="Times New Roman"/>
      <w:kern w:val="2"/>
      <w:sz w:val="21"/>
    </w:rPr>
  </w:style>
  <w:style w:type="character" w:customStyle="1" w:styleId="174">
    <w:name w:val="标题 字符"/>
    <w:basedOn w:val="64"/>
    <w:link w:val="58"/>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4"/>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3"/>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2"/>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19"/>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8"/>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5"/>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7"/>
    <w:qFormat/>
    <w:uiPriority w:val="0"/>
    <w:rPr>
      <w:rFonts w:ascii="Times New Roman" w:hAnsi="Times New Roman" w:eastAsia="宋体" w:cs="Times New Roman"/>
      <w:sz w:val="18"/>
      <w:szCs w:val="18"/>
    </w:rPr>
  </w:style>
  <w:style w:type="character" w:customStyle="1" w:styleId="210">
    <w:name w:val="尾注文本 字符"/>
    <w:basedOn w:val="64"/>
    <w:link w:val="36"/>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19"/>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8"/>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19"/>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19"/>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5"/>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19"/>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4"/>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24"/>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4"/>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5"/>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3"/>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5"/>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19"/>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24"/>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7"/>
    <w:qFormat/>
    <w:uiPriority w:val="0"/>
    <w:rPr>
      <w:kern w:val="2"/>
      <w:sz w:val="21"/>
    </w:rPr>
  </w:style>
  <w:style w:type="paragraph" w:customStyle="1" w:styleId="424">
    <w:name w:val="BodyText1I"/>
    <w:basedOn w:val="425"/>
    <w:next w:val="1"/>
    <w:qFormat/>
    <w:uiPriority w:val="0"/>
    <w:pPr>
      <w:ind w:firstLine="420" w:firstLineChars="100"/>
    </w:pPr>
    <w:rPr>
      <w:szCs w:val="24"/>
    </w:rPr>
  </w:style>
  <w:style w:type="paragraph" w:customStyle="1" w:styleId="425">
    <w:name w:val="BodyText"/>
    <w:basedOn w:val="1"/>
    <w:next w:val="426"/>
    <w:qFormat/>
    <w:uiPriority w:val="0"/>
    <w:pPr>
      <w:spacing w:after="120"/>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4"/>
    <w:qFormat/>
    <w:uiPriority w:val="0"/>
    <w:pPr>
      <w:spacing w:before="100" w:after="100" w:line="240" w:lineRule="auto"/>
    </w:pPr>
    <w:rPr>
      <w:rFonts w:cs="宋体"/>
      <w:bCs/>
      <w:sz w:val="30"/>
    </w:rPr>
  </w:style>
  <w:style w:type="paragraph" w:customStyle="1" w:styleId="428">
    <w:name w:val="正文首行缩进1"/>
    <w:basedOn w:val="2"/>
    <w:qFormat/>
    <w:uiPriority w:val="0"/>
    <w:pPr>
      <w:spacing w:after="120"/>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AC1FE-6535-4EFF-A1FE-3F4489A509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15546</Words>
  <Characters>16435</Characters>
  <Lines>134</Lines>
  <Paragraphs>37</Paragraphs>
  <TotalTime>1</TotalTime>
  <ScaleCrop>false</ScaleCrop>
  <LinksUpToDate>false</LinksUpToDate>
  <CharactersWithSpaces>17752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2024-11-27T02:20:00Z</cp:lastPrinted>
  <dcterms:modified xsi:type="dcterms:W3CDTF">2025-04-14T09:47:22Z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y fmtid="{D5CDD505-2E9C-101B-9397-08002B2CF9AE}" pid="4" name="KSOTemplateDocerSaveRecord">
    <vt:lpwstr>eyJoZGlkIjoiYjJmMmM3OGVmZjJmNzg5MmEyYTg2Y2U2ZGUzMGNkMTkiLCJ1c2VySWQiOiIzODY1MzQ1NTQifQ==</vt:lpwstr>
  </property>
</Properties>
</file>