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3F93B">
      <w:pPr>
        <w:spacing w:line="360" w:lineRule="auto"/>
        <w:jc w:val="left"/>
        <w:rPr>
          <w:rFonts w:hint="default" w:asciiTheme="minorEastAsia" w:hAnsiTheme="minorEastAsia" w:eastAsiaTheme="minorEastAsia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highlight w:val="none"/>
          <w:lang w:val="en-US" w:eastAsia="zh-CN"/>
        </w:rPr>
        <w:t>附件：采购需求</w:t>
      </w:r>
    </w:p>
    <w:tbl>
      <w:tblPr>
        <w:tblStyle w:val="5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35"/>
        <w:gridCol w:w="3255"/>
        <w:gridCol w:w="1215"/>
        <w:gridCol w:w="645"/>
        <w:gridCol w:w="945"/>
        <w:gridCol w:w="1125"/>
        <w:gridCol w:w="720"/>
        <w:gridCol w:w="630"/>
      </w:tblGrid>
      <w:tr w14:paraId="1E5EC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73E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2D06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货物名称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B31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技术参数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A69D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743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467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预计3年采购量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262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拟采购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单价最高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限价（元）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AC6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所属行业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4FC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14:paraId="733C5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C9C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D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医用干式胶片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5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1、胶片名称及要求：医用干式热敏胶片（非碳粉、非喷墨），采用明室装载，胶片在灯光下安装不曝光</w:t>
            </w:r>
          </w:p>
          <w:p w14:paraId="326A1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2、规格：10×12英寸、14×17 英寸 </w:t>
            </w:r>
          </w:p>
          <w:p w14:paraId="6D412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3、分辨率：≥508dpi </w:t>
            </w:r>
          </w:p>
          <w:p w14:paraId="02C55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4、灰阶对比：≥14bit </w:t>
            </w:r>
          </w:p>
          <w:p w14:paraId="2CB73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5、灰雾密度：≤0.08</w:t>
            </w:r>
          </w:p>
          <w:p w14:paraId="16434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6、最大密度：≥2.7</w:t>
            </w:r>
          </w:p>
          <w:p w14:paraId="4481E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7、热敏胶片环保、无毒害（提供检测报告）</w:t>
            </w:r>
          </w:p>
          <w:p w14:paraId="01827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8、打印技术：直接成像（干式打印，提供图像输出方法证明证书）。</w:t>
            </w:r>
          </w:p>
          <w:p w14:paraId="7003F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9、图像打印机打印速度： ≥60 张/小时。</w:t>
            </w:r>
          </w:p>
          <w:p w14:paraId="0674C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10、片盒数量与容量：标配在线≥2个供片盒，并且每个片盒可以支持任意规格的胶片，单个片盒容量≥100张。</w:t>
            </w:r>
          </w:p>
          <w:p w14:paraId="2E440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11、供货期内需提供2台配套影像打印平台，并负责与his系统连接，可同时打印胶片和报告。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6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B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6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931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C68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A7DF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00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893B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说明：</w:t>
            </w:r>
          </w:p>
          <w:p w14:paraId="0A52BBA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1、投标人的投标文件必须标明所投货物的品牌与参数，保证原厂正品供货；</w:t>
            </w:r>
          </w:p>
          <w:p w14:paraId="0B1EC0D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2、本项目预计采购量仅供投标人参考；</w:t>
            </w:r>
          </w:p>
          <w:p w14:paraId="337684A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、本项目一次性规划，分步实施，按实结算。本项目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进入采购人医院SPD管理；</w:t>
            </w:r>
          </w:p>
          <w:p w14:paraId="0DA300C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、投标人所投产品单价不得高于该产品单价限价，否则视为无效响应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2188253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、供货期限内如遇国家、省医保带量采购等相关政策调整，按国家、省医保带量采购等相关政策执行；</w:t>
            </w:r>
          </w:p>
          <w:p w14:paraId="4E5E7F0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、最高投标费率：100%。</w:t>
            </w:r>
          </w:p>
        </w:tc>
      </w:tr>
    </w:tbl>
    <w:p w14:paraId="05C93EC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E2AB4"/>
    <w:rsid w:val="23143CBD"/>
    <w:rsid w:val="5D8D4B06"/>
    <w:rsid w:val="5ECF6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  <w:style w:type="paragraph" w:customStyle="1" w:styleId="7">
    <w:name w:val="D&amp;L"/>
    <w:basedOn w:val="3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2">
    <w:name w:val="font51"/>
    <w:basedOn w:val="6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535</Characters>
  <Lines>0</Lines>
  <Paragraphs>0</Paragraphs>
  <TotalTime>11</TotalTime>
  <ScaleCrop>false</ScaleCrop>
  <LinksUpToDate>false</LinksUpToDate>
  <CharactersWithSpaces>541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</dc:creator>
  <cp:lastModifiedBy>青山隐隐</cp:lastModifiedBy>
  <dcterms:modified xsi:type="dcterms:W3CDTF">2025-07-02T02:02:18Z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eyJoZGlkIjoiYmUxMmZmNWFhZWJjODQ4ZDAzOGJjNjFhYTBjMjc3MzEiLCJ1c2VySWQiOiIzNzkwODk2NDUifQ==</vt:lpwstr>
  </property>
  <property fmtid="{D5CDD505-2E9C-101B-9397-08002B2CF9AE}" pid="4" name="ICV">
    <vt:lpwstr>A6E79380CE52493A97E554B5C128583C_13</vt:lpwstr>
  </property>
</Properties>
</file>