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F5B90">
      <w:pPr>
        <w:pStyle w:val="2"/>
        <w:spacing w:before="62" w:beforeLines="20" w:after="62" w:afterLines="20" w:line="360" w:lineRule="auto"/>
        <w:ind w:firstLine="0" w:firstLineChars="0"/>
        <w:jc w:val="center"/>
        <w:rPr>
          <w:rFonts w:hint="eastAsia" w:asciiTheme="majorEastAsia" w:hAnsiTheme="majorEastAsia" w:eastAsiaTheme="majorEastAsia" w:cstheme="majorEastAsia"/>
          <w:b/>
          <w:i w:val="0"/>
          <w:kern w:val="2"/>
          <w:sz w:val="32"/>
          <w:szCs w:val="32"/>
          <w:lang w:val="en-US" w:eastAsia="zh-CN" w:bidi="ar-SA"/>
        </w:rPr>
      </w:pPr>
      <w:r>
        <w:rPr>
          <w:rFonts w:hint="eastAsia" w:asciiTheme="majorEastAsia" w:hAnsiTheme="majorEastAsia" w:eastAsiaTheme="majorEastAsia" w:cstheme="majorEastAsia"/>
          <w:b/>
          <w:i w:val="0"/>
          <w:kern w:val="2"/>
          <w:sz w:val="32"/>
          <w:szCs w:val="32"/>
          <w:lang w:val="zh-CN" w:eastAsia="zh-CN" w:bidi="ar-SA"/>
        </w:rPr>
        <w:t>货物需求及参数要求</w:t>
      </w:r>
    </w:p>
    <w:p w14:paraId="66842190">
      <w:pPr>
        <w:widowControl/>
        <w:numPr>
          <w:ilvl w:val="0"/>
          <w:numId w:val="0"/>
        </w:numPr>
        <w:spacing w:line="360" w:lineRule="auto"/>
        <w:ind w:firstLine="480" w:firstLineChars="200"/>
        <w:jc w:val="left"/>
        <w:rPr>
          <w:rFonts w:hint="eastAsia" w:asciiTheme="minorEastAsia" w:hAnsiTheme="minorEastAsia" w:eastAsiaTheme="minorEastAsia" w:cstheme="minorEastAsia"/>
          <w:b/>
          <w:bCs/>
          <w:sz w:val="21"/>
          <w:szCs w:val="21"/>
          <w:lang w:val="en-US" w:eastAsia="zh-CN"/>
        </w:rPr>
      </w:pPr>
      <w:r>
        <w:rPr>
          <w:rFonts w:ascii="宋体" w:hAnsi="宋体" w:eastAsia="宋体"/>
          <w:color w:val="auto"/>
          <w:sz w:val="24"/>
          <w:szCs w:val="18"/>
          <w:highlight w:val="none"/>
        </w:rPr>
        <w:t>根据《</w:t>
      </w:r>
      <w:r>
        <w:rPr>
          <w:rFonts w:hint="eastAsia" w:ascii="宋体" w:hAnsi="宋体" w:eastAsia="宋体"/>
          <w:color w:val="auto"/>
          <w:sz w:val="24"/>
          <w:szCs w:val="18"/>
          <w:highlight w:val="none"/>
        </w:rPr>
        <w:t>政府采购进口产品管理办法</w:t>
      </w:r>
      <w:r>
        <w:rPr>
          <w:rFonts w:ascii="宋体" w:hAnsi="宋体" w:eastAsia="宋体"/>
          <w:color w:val="auto"/>
          <w:sz w:val="24"/>
          <w:szCs w:val="18"/>
          <w:highlight w:val="none"/>
        </w:rPr>
        <w:t>》及政府采购管理部门的相关规定，下列采购需求中</w:t>
      </w:r>
      <w:r>
        <w:rPr>
          <w:rFonts w:hint="eastAsia" w:ascii="宋体" w:hAnsi="宋体" w:eastAsia="宋体"/>
          <w:color w:val="auto"/>
          <w:sz w:val="24"/>
          <w:szCs w:val="18"/>
          <w:highlight w:val="none"/>
        </w:rPr>
        <w:t>标注进口产品的货物均</w:t>
      </w:r>
      <w:r>
        <w:rPr>
          <w:rFonts w:ascii="宋体" w:hAnsi="宋体" w:eastAsia="宋体"/>
          <w:color w:val="auto"/>
          <w:sz w:val="24"/>
          <w:szCs w:val="18"/>
          <w:highlight w:val="none"/>
        </w:rPr>
        <w:t>已履行相关论证手续，经核准采购进口</w:t>
      </w:r>
      <w:r>
        <w:rPr>
          <w:rFonts w:hint="eastAsia" w:ascii="宋体" w:hAnsi="宋体" w:eastAsia="宋体"/>
          <w:color w:val="auto"/>
          <w:sz w:val="24"/>
          <w:szCs w:val="18"/>
          <w:highlight w:val="none"/>
        </w:rPr>
        <w:t>产品</w:t>
      </w:r>
      <w:r>
        <w:rPr>
          <w:rFonts w:ascii="宋体" w:hAnsi="宋体" w:eastAsia="宋体"/>
          <w:color w:val="auto"/>
          <w:sz w:val="24"/>
          <w:szCs w:val="18"/>
          <w:highlight w:val="none"/>
        </w:rPr>
        <w:t>，但不限制满足</w:t>
      </w:r>
      <w:r>
        <w:rPr>
          <w:rFonts w:hint="eastAsia" w:ascii="宋体" w:hAnsi="宋体" w:eastAsia="宋体"/>
          <w:color w:val="auto"/>
          <w:sz w:val="24"/>
          <w:szCs w:val="18"/>
          <w:highlight w:val="none"/>
        </w:rPr>
        <w:t>谈判</w:t>
      </w:r>
      <w:r>
        <w:rPr>
          <w:rFonts w:ascii="宋体" w:hAnsi="宋体" w:eastAsia="宋体"/>
          <w:color w:val="auto"/>
          <w:sz w:val="24"/>
          <w:szCs w:val="18"/>
          <w:highlight w:val="none"/>
        </w:rPr>
        <w:t>文件要求的国内产品参与竞争</w:t>
      </w:r>
      <w:r>
        <w:rPr>
          <w:rFonts w:hint="eastAsia" w:ascii="宋体" w:hAnsi="宋体" w:eastAsia="宋体"/>
          <w:color w:val="auto"/>
          <w:sz w:val="24"/>
          <w:szCs w:val="18"/>
          <w:highlight w:val="none"/>
        </w:rPr>
        <w:t>。未标注进口产品的货物均</w:t>
      </w:r>
      <w:r>
        <w:rPr>
          <w:rFonts w:ascii="宋体" w:hAnsi="宋体" w:eastAsia="宋体"/>
          <w:color w:val="auto"/>
          <w:sz w:val="24"/>
          <w:szCs w:val="18"/>
          <w:highlight w:val="none"/>
        </w:rPr>
        <w:t>为拒绝采购进口产品</w:t>
      </w:r>
      <w:r>
        <w:rPr>
          <w:rFonts w:hint="eastAsia" w:ascii="宋体" w:hAnsi="宋体" w:eastAsia="宋体"/>
          <w:color w:val="auto"/>
          <w:sz w:val="24"/>
          <w:szCs w:val="18"/>
          <w:highlight w:val="none"/>
        </w:rPr>
        <w:t>。</w:t>
      </w:r>
    </w:p>
    <w:p w14:paraId="2E459AB9">
      <w:pPr>
        <w:widowControl/>
        <w:numPr>
          <w:ilvl w:val="0"/>
          <w:numId w:val="0"/>
        </w:numPr>
        <w:spacing w:line="360" w:lineRule="auto"/>
        <w:ind w:firstLine="422" w:firstLineChars="20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一、</w:t>
      </w:r>
      <w:r>
        <w:rPr>
          <w:rFonts w:hint="eastAsia" w:asciiTheme="minorEastAsia" w:hAnsiTheme="minorEastAsia" w:eastAsiaTheme="minorEastAsia" w:cstheme="minorEastAsia"/>
          <w:b/>
          <w:bCs/>
          <w:sz w:val="21"/>
          <w:szCs w:val="21"/>
        </w:rPr>
        <w:t>货物需求一览表</w:t>
      </w:r>
    </w:p>
    <w:tbl>
      <w:tblPr>
        <w:tblStyle w:val="8"/>
        <w:tblW w:w="9785" w:type="dxa"/>
        <w:jc w:val="center"/>
        <w:tblLayout w:type="fixed"/>
        <w:tblCellMar>
          <w:top w:w="0" w:type="dxa"/>
          <w:left w:w="108" w:type="dxa"/>
          <w:bottom w:w="0" w:type="dxa"/>
          <w:right w:w="108" w:type="dxa"/>
        </w:tblCellMar>
      </w:tblPr>
      <w:tblGrid>
        <w:gridCol w:w="650"/>
        <w:gridCol w:w="880"/>
        <w:gridCol w:w="5036"/>
        <w:gridCol w:w="615"/>
        <w:gridCol w:w="945"/>
        <w:gridCol w:w="915"/>
        <w:gridCol w:w="744"/>
      </w:tblGrid>
      <w:tr w14:paraId="022455D5">
        <w:tblPrEx>
          <w:tblCellMar>
            <w:top w:w="0" w:type="dxa"/>
            <w:left w:w="108" w:type="dxa"/>
            <w:bottom w:w="0" w:type="dxa"/>
            <w:right w:w="108" w:type="dxa"/>
          </w:tblCellMar>
        </w:tblPrEx>
        <w:trPr>
          <w:trHeight w:val="652" w:hRule="atLeast"/>
          <w:jc w:val="center"/>
        </w:trPr>
        <w:tc>
          <w:tcPr>
            <w:tcW w:w="650" w:type="dxa"/>
            <w:tcBorders>
              <w:top w:val="single" w:color="000000" w:sz="4" w:space="0"/>
              <w:left w:val="single" w:color="000000" w:sz="4" w:space="0"/>
              <w:bottom w:val="single" w:color="auto" w:sz="4" w:space="0"/>
              <w:right w:val="single" w:color="000000" w:sz="4" w:space="0"/>
            </w:tcBorders>
            <w:noWrap/>
            <w:vAlign w:val="center"/>
          </w:tcPr>
          <w:p w14:paraId="1B4FB8A0">
            <w:pPr>
              <w:widowControl/>
              <w:spacing w:line="240" w:lineRule="auto"/>
              <w:jc w:val="center"/>
              <w:textAlignment w:val="center"/>
              <w:rPr>
                <w:rFonts w:hint="eastAsia" w:asciiTheme="minorEastAsia" w:hAnsiTheme="minorEastAsia" w:eastAsiaTheme="minorEastAsia" w:cstheme="minorEastAsia"/>
                <w:b/>
                <w:bCs/>
                <w:sz w:val="21"/>
                <w:szCs w:val="21"/>
                <w:lang w:eastAsia="zh-CN"/>
              </w:rPr>
            </w:pPr>
            <w:bookmarkStart w:id="0" w:name="_Hlk106267351"/>
            <w:bookmarkStart w:id="1" w:name="_Hlk96158360"/>
            <w:r>
              <w:rPr>
                <w:rFonts w:hint="eastAsia" w:asciiTheme="minorEastAsia" w:hAnsiTheme="minorEastAsia" w:eastAsiaTheme="minorEastAsia" w:cstheme="minorEastAsia"/>
                <w:b/>
                <w:bCs/>
                <w:kern w:val="0"/>
                <w:sz w:val="21"/>
                <w:szCs w:val="21"/>
                <w:lang w:val="en-US" w:eastAsia="zh-CN" w:bidi="ar"/>
              </w:rPr>
              <w:t>序号</w:t>
            </w:r>
          </w:p>
        </w:tc>
        <w:tc>
          <w:tcPr>
            <w:tcW w:w="880" w:type="dxa"/>
            <w:tcBorders>
              <w:top w:val="single" w:color="000000" w:sz="4" w:space="0"/>
              <w:left w:val="single" w:color="000000" w:sz="4" w:space="0"/>
              <w:bottom w:val="single" w:color="auto" w:sz="4" w:space="0"/>
              <w:right w:val="single" w:color="000000" w:sz="4" w:space="0"/>
            </w:tcBorders>
            <w:noWrap/>
            <w:vAlign w:val="center"/>
          </w:tcPr>
          <w:p w14:paraId="5C6A8CF1">
            <w:pPr>
              <w:widowControl/>
              <w:spacing w:line="240" w:lineRule="auto"/>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lang w:bidi="ar"/>
              </w:rPr>
              <w:t>名称</w:t>
            </w:r>
          </w:p>
        </w:tc>
        <w:tc>
          <w:tcPr>
            <w:tcW w:w="5036" w:type="dxa"/>
            <w:tcBorders>
              <w:top w:val="single" w:color="000000" w:sz="4" w:space="0"/>
              <w:left w:val="single" w:color="000000" w:sz="4" w:space="0"/>
              <w:bottom w:val="single" w:color="auto" w:sz="4" w:space="0"/>
              <w:right w:val="single" w:color="000000" w:sz="4" w:space="0"/>
            </w:tcBorders>
            <w:noWrap/>
            <w:vAlign w:val="center"/>
          </w:tcPr>
          <w:p w14:paraId="7EADE9F1">
            <w:pPr>
              <w:widowControl/>
              <w:spacing w:line="240" w:lineRule="auto"/>
              <w:jc w:val="center"/>
              <w:textAlignment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kern w:val="0"/>
                <w:sz w:val="21"/>
                <w:szCs w:val="21"/>
                <w:lang w:bidi="ar"/>
              </w:rPr>
              <w:t>技术参数</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70F4AE12">
            <w:pPr>
              <w:widowControl/>
              <w:spacing w:line="240" w:lineRule="auto"/>
              <w:jc w:val="center"/>
              <w:textAlignment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kern w:val="0"/>
                <w:sz w:val="21"/>
                <w:szCs w:val="21"/>
                <w:lang w:bidi="ar"/>
              </w:rPr>
              <w:t>单位</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5C6DB8D">
            <w:pPr>
              <w:widowControl/>
              <w:spacing w:line="240" w:lineRule="auto"/>
              <w:jc w:val="center"/>
              <w:textAlignment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kern w:val="0"/>
                <w:sz w:val="21"/>
                <w:szCs w:val="21"/>
                <w:lang w:bidi="ar"/>
              </w:rPr>
              <w:t>年预估</w:t>
            </w:r>
          </w:p>
          <w:p w14:paraId="07515338">
            <w:pPr>
              <w:widowControl/>
              <w:spacing w:line="240" w:lineRule="auto"/>
              <w:jc w:val="center"/>
              <w:textAlignment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kern w:val="0"/>
                <w:sz w:val="21"/>
                <w:szCs w:val="21"/>
                <w:lang w:bidi="ar"/>
              </w:rPr>
              <w:t>使用量</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DBC7C4A">
            <w:pPr>
              <w:widowControl/>
              <w:spacing w:line="240" w:lineRule="auto"/>
              <w:jc w:val="center"/>
              <w:textAlignment w:val="center"/>
              <w:rPr>
                <w:rFonts w:hint="eastAsia" w:asciiTheme="minorEastAsia" w:hAnsiTheme="minorEastAsia" w:eastAsiaTheme="minorEastAsia" w:cstheme="minorEastAsia"/>
                <w:b/>
                <w:bCs/>
                <w:kern w:val="0"/>
                <w:sz w:val="21"/>
                <w:szCs w:val="21"/>
                <w:lang w:val="en-US" w:eastAsia="zh-CN" w:bidi="ar"/>
              </w:rPr>
            </w:pPr>
            <w:r>
              <w:rPr>
                <w:rFonts w:hint="eastAsia" w:asciiTheme="minorEastAsia" w:hAnsiTheme="minorEastAsia" w:eastAsiaTheme="minorEastAsia" w:cstheme="minorEastAsia"/>
                <w:b/>
                <w:bCs/>
                <w:kern w:val="0"/>
                <w:sz w:val="21"/>
                <w:szCs w:val="21"/>
                <w:lang w:bidi="ar"/>
              </w:rPr>
              <w:t>拟采购</w:t>
            </w:r>
            <w:r>
              <w:rPr>
                <w:rFonts w:hint="eastAsia" w:asciiTheme="minorEastAsia" w:hAnsiTheme="minorEastAsia" w:eastAsiaTheme="minorEastAsia" w:cstheme="minorEastAsia"/>
                <w:b/>
                <w:bCs/>
                <w:kern w:val="0"/>
                <w:sz w:val="21"/>
                <w:szCs w:val="21"/>
                <w:lang w:val="en-US" w:eastAsia="zh-CN" w:bidi="ar"/>
              </w:rPr>
              <w:t>单价最高</w:t>
            </w:r>
            <w:r>
              <w:rPr>
                <w:rFonts w:hint="eastAsia" w:asciiTheme="minorEastAsia" w:hAnsiTheme="minorEastAsia" w:eastAsiaTheme="minorEastAsia" w:cstheme="minorEastAsia"/>
                <w:b/>
                <w:bCs/>
                <w:kern w:val="0"/>
                <w:sz w:val="21"/>
                <w:szCs w:val="21"/>
                <w:lang w:bidi="ar"/>
              </w:rPr>
              <w:t>限价（元）</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216F34E5">
            <w:pPr>
              <w:widowControl/>
              <w:spacing w:line="240" w:lineRule="auto"/>
              <w:jc w:val="center"/>
              <w:textAlignment w:val="center"/>
              <w:rPr>
                <w:rFonts w:hint="eastAsia" w:asciiTheme="minorEastAsia" w:hAnsiTheme="minorEastAsia" w:eastAsiaTheme="minorEastAsia" w:cstheme="minorEastAsia"/>
                <w:b/>
                <w:bCs/>
                <w:kern w:val="0"/>
                <w:sz w:val="21"/>
                <w:szCs w:val="21"/>
                <w:lang w:val="en-US" w:eastAsia="zh-CN" w:bidi="ar"/>
              </w:rPr>
            </w:pPr>
            <w:r>
              <w:rPr>
                <w:rFonts w:hint="eastAsia" w:asciiTheme="minorEastAsia" w:hAnsiTheme="minorEastAsia" w:eastAsiaTheme="minorEastAsia" w:cstheme="minorEastAsia"/>
                <w:b/>
                <w:bCs/>
                <w:kern w:val="0"/>
                <w:sz w:val="21"/>
                <w:szCs w:val="21"/>
                <w:lang w:val="en-US" w:eastAsia="zh-CN" w:bidi="ar"/>
              </w:rPr>
              <w:t>备注</w:t>
            </w:r>
          </w:p>
        </w:tc>
      </w:tr>
      <w:tr w14:paraId="7778C503">
        <w:tblPrEx>
          <w:tblCellMar>
            <w:top w:w="0" w:type="dxa"/>
            <w:left w:w="108" w:type="dxa"/>
            <w:bottom w:w="0" w:type="dxa"/>
            <w:right w:w="108" w:type="dxa"/>
          </w:tblCellMar>
        </w:tblPrEx>
        <w:trPr>
          <w:trHeight w:val="9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14:paraId="2C301D05">
            <w:pPr>
              <w:widowControl/>
              <w:spacing w:line="240" w:lineRule="auto"/>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w:t>
            </w:r>
          </w:p>
        </w:tc>
        <w:tc>
          <w:tcPr>
            <w:tcW w:w="880" w:type="dxa"/>
            <w:tcBorders>
              <w:top w:val="single" w:color="auto" w:sz="4" w:space="0"/>
              <w:left w:val="single" w:color="auto" w:sz="4" w:space="0"/>
              <w:bottom w:val="single" w:color="auto" w:sz="4" w:space="0"/>
              <w:right w:val="single" w:color="auto" w:sz="4" w:space="0"/>
            </w:tcBorders>
            <w:noWrap/>
            <w:vAlign w:val="center"/>
          </w:tcPr>
          <w:p w14:paraId="4CD601D6">
            <w:pPr>
              <w:widowControl/>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粪便钙卫蛋白检验试剂盒</w:t>
            </w:r>
          </w:p>
        </w:tc>
        <w:tc>
          <w:tcPr>
            <w:tcW w:w="5036" w:type="dxa"/>
            <w:tcBorders>
              <w:top w:val="single" w:color="auto" w:sz="4" w:space="0"/>
              <w:left w:val="single" w:color="auto" w:sz="4" w:space="0"/>
              <w:bottom w:val="single" w:color="auto" w:sz="4" w:space="0"/>
              <w:right w:val="single" w:color="000000" w:sz="4" w:space="0"/>
            </w:tcBorders>
            <w:noWrap/>
            <w:vAlign w:val="center"/>
          </w:tcPr>
          <w:p w14:paraId="2A8E3654">
            <w:pPr>
              <w:widowControl/>
              <w:spacing w:line="240" w:lineRule="auto"/>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1、方法学：荧光免疫层析技术，双抗体夹心法</w:t>
            </w:r>
          </w:p>
          <w:p w14:paraId="67C8DEB7">
            <w:pPr>
              <w:widowControl/>
              <w:spacing w:line="240" w:lineRule="auto"/>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2、适用设备：试剂可直接用于检验科现有FIC-Q100N干式荧光免疫分析仪设备。</w:t>
            </w:r>
          </w:p>
          <w:p w14:paraId="1F12820C">
            <w:pPr>
              <w:widowControl/>
              <w:spacing w:line="240" w:lineRule="auto"/>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3、样本经稀释液稀释后保存时间：室温下可保存钙卫蛋白7天</w:t>
            </w:r>
          </w:p>
          <w:p w14:paraId="7C63A018">
            <w:pPr>
              <w:widowControl/>
              <w:spacing w:line="240" w:lineRule="auto"/>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4、线性范围：试剂盒的线性区间为[35—2100]（μg/g）</w:t>
            </w:r>
          </w:p>
          <w:p w14:paraId="5EC237D0">
            <w:pPr>
              <w:widowControl/>
              <w:spacing w:line="240" w:lineRule="auto"/>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5、最低检出限：最低检出限不大于15μg/g</w:t>
            </w:r>
          </w:p>
          <w:p w14:paraId="3CB38212">
            <w:pPr>
              <w:widowControl/>
              <w:spacing w:line="240" w:lineRule="auto"/>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6、标准卡符合国际标准：推荐使用配套校准卡，溯源至Buhlmann Laboratories AG 的钙卫蛋白检测试剂盒（酶联免疫法）CALPROTECTIN ELISA 的校准品</w:t>
            </w:r>
          </w:p>
          <w:p w14:paraId="5EAE4E93">
            <w:pPr>
              <w:widowControl/>
              <w:spacing w:line="24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7、采样装置：配套专用的粪便定量采集管（内含稀释保存液），可居家采样</w:t>
            </w:r>
          </w:p>
        </w:tc>
        <w:tc>
          <w:tcPr>
            <w:tcW w:w="615" w:type="dxa"/>
            <w:tcBorders>
              <w:top w:val="single" w:color="000000" w:sz="4" w:space="0"/>
              <w:left w:val="single" w:color="000000" w:sz="4" w:space="0"/>
              <w:bottom w:val="single" w:color="auto" w:sz="4" w:space="0"/>
              <w:right w:val="single" w:color="000000" w:sz="4" w:space="0"/>
            </w:tcBorders>
            <w:noWrap/>
            <w:vAlign w:val="center"/>
          </w:tcPr>
          <w:p w14:paraId="600948FF">
            <w:pPr>
              <w:widowControl/>
              <w:spacing w:line="240" w:lineRule="auto"/>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T</w:t>
            </w:r>
          </w:p>
        </w:tc>
        <w:tc>
          <w:tcPr>
            <w:tcW w:w="945" w:type="dxa"/>
            <w:tcBorders>
              <w:top w:val="single" w:color="000000" w:sz="4" w:space="0"/>
              <w:left w:val="single" w:color="000000" w:sz="4" w:space="0"/>
              <w:bottom w:val="single" w:color="auto" w:sz="4" w:space="0"/>
              <w:right w:val="single" w:color="000000" w:sz="4" w:space="0"/>
            </w:tcBorders>
            <w:noWrap/>
            <w:vAlign w:val="center"/>
          </w:tcPr>
          <w:p w14:paraId="35203D5C">
            <w:pPr>
              <w:widowControl/>
              <w:spacing w:line="240" w:lineRule="auto"/>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1666</w:t>
            </w:r>
          </w:p>
        </w:tc>
        <w:tc>
          <w:tcPr>
            <w:tcW w:w="915" w:type="dxa"/>
            <w:tcBorders>
              <w:top w:val="single" w:color="000000" w:sz="4" w:space="0"/>
              <w:left w:val="single" w:color="000000" w:sz="4" w:space="0"/>
              <w:bottom w:val="single" w:color="auto" w:sz="4" w:space="0"/>
              <w:right w:val="single" w:color="000000" w:sz="4" w:space="0"/>
            </w:tcBorders>
            <w:noWrap/>
            <w:vAlign w:val="center"/>
          </w:tcPr>
          <w:p w14:paraId="52EF785D">
            <w:pPr>
              <w:widowControl/>
              <w:spacing w:line="240" w:lineRule="auto"/>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w:t>
            </w:r>
          </w:p>
        </w:tc>
        <w:tc>
          <w:tcPr>
            <w:tcW w:w="744" w:type="dxa"/>
            <w:tcBorders>
              <w:top w:val="single" w:color="000000" w:sz="4" w:space="0"/>
              <w:left w:val="single" w:color="000000" w:sz="4" w:space="0"/>
              <w:bottom w:val="single" w:color="auto" w:sz="4" w:space="0"/>
              <w:right w:val="single" w:color="000000" w:sz="4" w:space="0"/>
            </w:tcBorders>
            <w:noWrap/>
            <w:vAlign w:val="center"/>
          </w:tcPr>
          <w:p w14:paraId="2BDA78C7">
            <w:pPr>
              <w:widowControl/>
              <w:spacing w:line="240" w:lineRule="auto"/>
              <w:jc w:val="center"/>
              <w:textAlignment w:val="center"/>
              <w:rPr>
                <w:rFonts w:hint="eastAsia" w:asciiTheme="minorEastAsia" w:hAnsiTheme="minorEastAsia" w:eastAsiaTheme="minorEastAsia" w:cstheme="minorEastAsia"/>
                <w:sz w:val="21"/>
                <w:szCs w:val="21"/>
                <w:lang w:val="en-US" w:eastAsia="zh-CN"/>
              </w:rPr>
            </w:pPr>
          </w:p>
        </w:tc>
      </w:tr>
      <w:tr w14:paraId="5BE46A13">
        <w:tblPrEx>
          <w:tblCellMar>
            <w:top w:w="0" w:type="dxa"/>
            <w:left w:w="108" w:type="dxa"/>
            <w:bottom w:w="0" w:type="dxa"/>
            <w:right w:w="108" w:type="dxa"/>
          </w:tblCellMar>
        </w:tblPrEx>
        <w:trPr>
          <w:trHeight w:val="1172"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14:paraId="7C1A93CC">
            <w:pPr>
              <w:widowControl/>
              <w:spacing w:line="240" w:lineRule="auto"/>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880" w:type="dxa"/>
            <w:tcBorders>
              <w:top w:val="single" w:color="auto" w:sz="4" w:space="0"/>
              <w:left w:val="single" w:color="auto" w:sz="4" w:space="0"/>
              <w:bottom w:val="single" w:color="auto" w:sz="4" w:space="0"/>
              <w:right w:val="single" w:color="auto" w:sz="4" w:space="0"/>
            </w:tcBorders>
            <w:noWrap/>
            <w:vAlign w:val="center"/>
          </w:tcPr>
          <w:p w14:paraId="0402D1F4">
            <w:pPr>
              <w:widowControl/>
              <w:spacing w:line="240" w:lineRule="auto"/>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粪便血红蛋白定量检测试剂盒</w:t>
            </w:r>
          </w:p>
        </w:tc>
        <w:tc>
          <w:tcPr>
            <w:tcW w:w="5036" w:type="dxa"/>
            <w:tcBorders>
              <w:top w:val="single" w:color="auto" w:sz="4" w:space="0"/>
              <w:left w:val="single" w:color="auto" w:sz="4" w:space="0"/>
              <w:bottom w:val="single" w:color="auto" w:sz="4" w:space="0"/>
              <w:right w:val="single" w:color="000000" w:sz="4" w:space="0"/>
            </w:tcBorders>
            <w:noWrap/>
            <w:vAlign w:val="center"/>
          </w:tcPr>
          <w:p w14:paraId="59D7F6CA">
            <w:pPr>
              <w:widowControl/>
              <w:spacing w:line="240" w:lineRule="auto"/>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1、方法学：荧光免疫层析技术，采用双抗体夹心法</w:t>
            </w:r>
          </w:p>
          <w:p w14:paraId="4296E9AB">
            <w:pPr>
              <w:widowControl/>
              <w:spacing w:line="240" w:lineRule="auto"/>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2、适用：试剂可直接用于检验科现有FIC-Q100N干式荧光免疫分析仪设备。</w:t>
            </w:r>
          </w:p>
          <w:p w14:paraId="383ED51A">
            <w:pPr>
              <w:widowControl/>
              <w:spacing w:line="240" w:lineRule="auto"/>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3、样本保存时间：未经处理的标本常温2小时，2-8℃冷藏不超过8小时。经专用稀释液稀释后常温保存一天，2-8℃冷藏保存三天。</w:t>
            </w:r>
          </w:p>
          <w:p w14:paraId="2BA05528">
            <w:pPr>
              <w:widowControl/>
              <w:spacing w:line="240" w:lineRule="auto"/>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4、线性范围：试剂盒的线性区间为[7.5—225]（μg/g）</w:t>
            </w:r>
          </w:p>
          <w:p w14:paraId="664B3C0F">
            <w:pPr>
              <w:widowControl/>
              <w:spacing w:line="240" w:lineRule="auto"/>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5、最低检出限：最低检出限不大于7.5μg/g</w:t>
            </w:r>
          </w:p>
          <w:p w14:paraId="3D7D5133">
            <w:pPr>
              <w:widowControl/>
              <w:spacing w:line="240" w:lineRule="auto"/>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6、标准卡符合国际标准：推荐使用配套校准卡，溯源至国际标物NIBSC code:98/708</w:t>
            </w:r>
          </w:p>
          <w:p w14:paraId="2FD2AE35">
            <w:pPr>
              <w:widowControl/>
              <w:spacing w:line="240" w:lineRule="auto"/>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7、采样装置：配套专用的粪便定量采集管（内含稀释保存液），可居家采样</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140A192D">
            <w:pPr>
              <w:widowControl/>
              <w:spacing w:line="240" w:lineRule="auto"/>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T</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3FB45603">
            <w:pPr>
              <w:widowControl/>
              <w:spacing w:line="240" w:lineRule="auto"/>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1666</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C6395AE">
            <w:pPr>
              <w:widowControl/>
              <w:spacing w:line="240" w:lineRule="auto"/>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67F089A7">
            <w:pPr>
              <w:widowControl/>
              <w:spacing w:line="240" w:lineRule="auto"/>
              <w:jc w:val="center"/>
              <w:textAlignment w:val="center"/>
              <w:rPr>
                <w:rFonts w:hint="eastAsia" w:asciiTheme="minorEastAsia" w:hAnsiTheme="minorEastAsia" w:eastAsiaTheme="minorEastAsia" w:cstheme="minorEastAsia"/>
                <w:sz w:val="21"/>
                <w:szCs w:val="21"/>
                <w:lang w:val="en-US" w:eastAsia="zh-CN"/>
              </w:rPr>
            </w:pPr>
          </w:p>
        </w:tc>
      </w:tr>
      <w:tr w14:paraId="2A65F49A">
        <w:tblPrEx>
          <w:tblCellMar>
            <w:top w:w="0" w:type="dxa"/>
            <w:left w:w="108" w:type="dxa"/>
            <w:bottom w:w="0" w:type="dxa"/>
            <w:right w:w="108" w:type="dxa"/>
          </w:tblCellMar>
        </w:tblPrEx>
        <w:trPr>
          <w:trHeight w:val="1172" w:hRule="atLeast"/>
          <w:jc w:val="center"/>
        </w:trPr>
        <w:tc>
          <w:tcPr>
            <w:tcW w:w="9785" w:type="dxa"/>
            <w:gridSpan w:val="7"/>
            <w:tcBorders>
              <w:top w:val="single" w:color="auto" w:sz="4" w:space="0"/>
              <w:left w:val="single" w:color="auto" w:sz="4" w:space="0"/>
              <w:bottom w:val="single" w:color="auto" w:sz="4" w:space="0"/>
              <w:right w:val="single" w:color="000000" w:sz="4" w:space="0"/>
            </w:tcBorders>
            <w:noWrap/>
            <w:vAlign w:val="center"/>
          </w:tcPr>
          <w:p w14:paraId="50AF8AEE">
            <w:pPr>
              <w:widowControl/>
              <w:spacing w:line="240" w:lineRule="auto"/>
              <w:jc w:val="both"/>
              <w:textAlignment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说明：</w:t>
            </w:r>
          </w:p>
          <w:p w14:paraId="4A657BEB">
            <w:pPr>
              <w:widowControl/>
              <w:numPr>
                <w:ilvl w:val="0"/>
                <w:numId w:val="1"/>
              </w:numPr>
              <w:spacing w:line="240" w:lineRule="auto"/>
              <w:jc w:val="both"/>
              <w:textAlignment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投标人的投标文件必须标明所投货物的品牌与参数，保证原厂正品供货。；</w:t>
            </w:r>
          </w:p>
          <w:p w14:paraId="272C60F7">
            <w:pPr>
              <w:numPr>
                <w:ilvl w:val="0"/>
                <w:numId w:val="1"/>
              </w:numPr>
              <w:bidi w:val="0"/>
              <w:rPr>
                <w:rFonts w:hint="eastAsia"/>
                <w:b/>
                <w:bCs/>
                <w:lang w:val="en-US" w:eastAsia="zh-CN"/>
              </w:rPr>
            </w:pPr>
            <w:r>
              <w:rPr>
                <w:rFonts w:hint="eastAsia"/>
                <w:b/>
                <w:bCs/>
                <w:lang w:val="en-US" w:eastAsia="zh-CN"/>
              </w:rPr>
              <w:t>本项目预计采购量仅供投标人参考；</w:t>
            </w:r>
          </w:p>
          <w:p w14:paraId="1C81B683">
            <w:pPr>
              <w:numPr>
                <w:ilvl w:val="0"/>
                <w:numId w:val="1"/>
              </w:numPr>
              <w:bidi w:val="0"/>
              <w:rPr>
                <w:rFonts w:hint="eastAsia"/>
                <w:b/>
                <w:bCs/>
                <w:lang w:val="en-US" w:eastAsia="zh-CN"/>
              </w:rPr>
            </w:pPr>
            <w:r>
              <w:rPr>
                <w:rFonts w:hint="eastAsia"/>
                <w:b/>
                <w:bCs/>
                <w:lang w:val="en-US" w:eastAsia="zh-CN"/>
              </w:rPr>
              <w:t>本项目一次性规划，分步实施，按实结算。本项目试剂进入采购人医院SPD管理；</w:t>
            </w:r>
          </w:p>
          <w:p w14:paraId="35E04A18">
            <w:pPr>
              <w:numPr>
                <w:ilvl w:val="0"/>
                <w:numId w:val="1"/>
              </w:numPr>
              <w:bidi w:val="0"/>
              <w:rPr>
                <w:rFonts w:hint="eastAsia"/>
                <w:b/>
                <w:bCs/>
                <w:lang w:val="en-US" w:eastAsia="zh-CN"/>
              </w:rPr>
            </w:pPr>
            <w:r>
              <w:rPr>
                <w:rFonts w:hint="eastAsia"/>
                <w:b/>
                <w:bCs/>
                <w:lang w:val="en-US" w:eastAsia="zh-CN"/>
              </w:rPr>
              <w:t>投标人所投产品单价不得高于该产品单价限价，否则视为无效响应。</w:t>
            </w:r>
          </w:p>
          <w:p w14:paraId="47A55AE7">
            <w:pPr>
              <w:numPr>
                <w:ilvl w:val="0"/>
                <w:numId w:val="1"/>
              </w:numPr>
              <w:bidi w:val="0"/>
              <w:rPr>
                <w:rFonts w:hint="eastAsia"/>
                <w:b/>
                <w:bCs/>
                <w:lang w:val="en-US" w:eastAsia="zh-CN"/>
              </w:rPr>
            </w:pPr>
            <w:r>
              <w:rPr>
                <w:rFonts w:hint="eastAsia"/>
                <w:b/>
                <w:bCs/>
                <w:lang w:val="en-US" w:eastAsia="zh-CN"/>
              </w:rPr>
              <w:t>供货期限内如遇国家、省医保带量采购等相关政策调整，按国家、省医保带量采购等相关政策执行；</w:t>
            </w:r>
          </w:p>
          <w:p w14:paraId="2D90D95A">
            <w:pPr>
              <w:numPr>
                <w:ilvl w:val="0"/>
                <w:numId w:val="1"/>
              </w:numPr>
              <w:bidi w:val="0"/>
              <w:rPr>
                <w:rFonts w:hint="eastAsia"/>
                <w:b/>
                <w:bCs/>
                <w:lang w:val="en-US" w:eastAsia="zh-CN"/>
              </w:rPr>
            </w:pPr>
            <w:r>
              <w:rPr>
                <w:rFonts w:hint="eastAsia"/>
                <w:b/>
                <w:bCs/>
                <w:lang w:val="en-US" w:eastAsia="zh-CN"/>
              </w:rPr>
              <w:t>中标人供货价格计算方式如下：最高限价（单价）×中标费率=供货价格（单价）。如所投产品的安徽省医药集中采购中心平台限价低于该项目供货价格（单价），则按平台限价（单价）×中标费率=供货价格（单价）。供货价格即为合同价款。</w:t>
            </w:r>
          </w:p>
          <w:p w14:paraId="00A914B9">
            <w:pPr>
              <w:numPr>
                <w:ilvl w:val="0"/>
                <w:numId w:val="1"/>
              </w:numPr>
              <w:bidi w:val="0"/>
              <w:rPr>
                <w:rFonts w:hint="eastAsia"/>
                <w:b/>
                <w:bCs/>
                <w:lang w:val="en-US" w:eastAsia="zh-CN"/>
              </w:rPr>
            </w:pPr>
            <w:r>
              <w:rPr>
                <w:rFonts w:hint="eastAsia"/>
                <w:b/>
                <w:bCs/>
                <w:lang w:val="en-US" w:eastAsia="zh-CN"/>
              </w:rPr>
              <w:t>所投产品如有两票制要求则须执行两票制相关要求；所投产品如安徽省医药集中采购中心有相关要求，则须执行安徽省医药集中采购中心相关要求(如：在平台配送等)。</w:t>
            </w:r>
          </w:p>
          <w:p w14:paraId="3F7C55E0">
            <w:pPr>
              <w:rPr>
                <w:rFonts w:hint="default"/>
                <w:lang w:val="en-US" w:eastAsia="zh-CN"/>
              </w:rPr>
            </w:pPr>
            <w:r>
              <w:rPr>
                <w:rFonts w:hint="eastAsia" w:ascii="宋体" w:hAnsi="宋体" w:eastAsia="宋体" w:cs="Times New Roman"/>
                <w:b/>
                <w:bCs/>
                <w:highlight w:val="none"/>
                <w:lang w:val="en-US" w:eastAsia="zh-CN"/>
              </w:rPr>
              <w:t>8、</w:t>
            </w:r>
            <w:r>
              <w:rPr>
                <w:rFonts w:hint="eastAsia"/>
                <w:b/>
                <w:bCs/>
                <w:highlight w:val="none"/>
                <w:lang w:val="en-US" w:eastAsia="zh-CN"/>
              </w:rPr>
              <w:t>最高投标费率：100%。</w:t>
            </w:r>
          </w:p>
        </w:tc>
      </w:tr>
    </w:tbl>
    <w:p w14:paraId="2CE0C5E3">
      <w:pPr>
        <w:pStyle w:val="10"/>
        <w:shd w:val="clear" w:color="auto" w:fill="FFFFFF"/>
        <w:spacing w:line="360" w:lineRule="auto"/>
        <w:ind w:left="0" w:leftChars="0" w:firstLine="0" w:firstLineChars="0"/>
        <w:jc w:val="left"/>
        <w:rPr>
          <w:rFonts w:hint="eastAsia" w:asciiTheme="minorEastAsia" w:hAnsiTheme="minorEastAsia" w:eastAsiaTheme="minorEastAsia" w:cstheme="minorEastAsia"/>
          <w:b/>
          <w:sz w:val="21"/>
          <w:szCs w:val="21"/>
        </w:rPr>
      </w:pPr>
    </w:p>
    <w:p w14:paraId="52B5B4C2">
      <w:pPr>
        <w:pStyle w:val="10"/>
        <w:shd w:val="clear" w:color="auto" w:fill="FFFFFF"/>
        <w:spacing w:line="360" w:lineRule="auto"/>
        <w:ind w:firstLine="422" w:firstLineChars="200"/>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二、质量要求</w:t>
      </w:r>
    </w:p>
    <w:p w14:paraId="1FE466B9">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人提供的货物必须是全新、标识清楚、符合国家规定的质量标准或行业现行标准的要求。没有国家标准和行业标准的，应达到经主管部门批准的企业现行标准要求，符合采购人采购文件和投标人投标文件所要求的技术标准。杜绝证照不全、假冒、伪劣、过期、失效、淘汰或不合格的产品进入医院，否则，投标人承担由此造成的一切后果。</w:t>
      </w:r>
    </w:p>
    <w:p w14:paraId="18457E6F">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2.保证投标产品的质量，其供货时剩余有效期时间不得少于有效期的2/3。</w:t>
      </w:r>
    </w:p>
    <w:p w14:paraId="3D1016C8">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3.保证是原产地生产的原装产品，否则视为假冒伪劣产品。</w:t>
      </w:r>
    </w:p>
    <w:p w14:paraId="2D46C1D0">
      <w:pPr>
        <w:pStyle w:val="10"/>
        <w:shd w:val="clear" w:color="auto" w:fill="FFFFFF"/>
        <w:spacing w:line="360" w:lineRule="auto"/>
        <w:ind w:firstLine="422" w:firstLineChars="200"/>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三、供货期</w:t>
      </w:r>
    </w:p>
    <w:p w14:paraId="560AA1BA">
      <w:pPr>
        <w:bidi w:val="0"/>
        <w:spacing w:line="360" w:lineRule="auto"/>
        <w:ind w:firstLine="420" w:firstLineChars="200"/>
        <w:rPr>
          <w:rFonts w:hint="eastAsia"/>
          <w:color w:val="auto"/>
          <w:lang w:val="en-US" w:eastAsia="zh-CN"/>
        </w:rPr>
      </w:pPr>
      <w:r>
        <w:rPr>
          <w:rFonts w:hint="eastAsia"/>
          <w:color w:val="auto"/>
          <w:lang w:val="en-US" w:eastAsia="zh-CN"/>
        </w:rPr>
        <w:t>自合同执行日起一年或采购费用总额达到年度总中标价（预算金额*中标费率）时，两者以先到者为准，在供货期内按照采购人的要求分批供货，据实结算。本项目采用“1+1+1”模式，服务期满经采购人年度考核合格（考核评分在85分及以上），并经双方协商一致可续签2次合同（一年一签）。</w:t>
      </w:r>
    </w:p>
    <w:p w14:paraId="4633F105">
      <w:pPr>
        <w:pStyle w:val="10"/>
        <w:shd w:val="clear" w:color="auto" w:fill="FFFFFF"/>
        <w:spacing w:line="360" w:lineRule="auto"/>
        <w:ind w:firstLine="422" w:firstLineChars="200"/>
        <w:jc w:val="left"/>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四、供货及售后要求</w:t>
      </w:r>
    </w:p>
    <w:p w14:paraId="51B21E56">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1.中标人接到采购人供货通知，根据采购人通知的规格型号和数量按计划送货，按照采购人要求送至指定地点，负责运输。</w:t>
      </w:r>
    </w:p>
    <w:p w14:paraId="3942BB0F">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2.中标人根据采购人采购计划进行供货，不允许超计划供货，超出计划的数量，采购人不予验收入库，由中标人无条件带回。</w:t>
      </w:r>
    </w:p>
    <w:p w14:paraId="500F04EA">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3.中标人所投的品牌货物在供货或使用过程中出现质量和使用问题，采购人有权要求更换，直至采购人满意，且不再另行支付任何费用。</w:t>
      </w:r>
    </w:p>
    <w:p w14:paraId="6B3C765F">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4.按采购人实际需求进行供货，中标人须无条件满足采购人需求，确保供货质量并及时供货。</w:t>
      </w:r>
    </w:p>
    <w:p w14:paraId="099613E6">
      <w:pPr>
        <w:pStyle w:val="10"/>
        <w:shd w:val="clear" w:color="auto" w:fill="FFFFFF"/>
        <w:spacing w:line="360" w:lineRule="auto"/>
        <w:ind w:firstLine="422" w:firstLineChars="200"/>
        <w:jc w:val="left"/>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五、验收</w:t>
      </w:r>
    </w:p>
    <w:p w14:paraId="5D861BEB">
      <w:pPr>
        <w:spacing w:line="240" w:lineRule="auto"/>
        <w:ind w:firstLine="420" w:firstLineChars="200"/>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sz w:val="21"/>
          <w:szCs w:val="21"/>
        </w:rPr>
        <w:t>验收时采购人和中标人双方共同实施验收工作，验收合格后，结果和验收报告经双方确认后生效。</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b/>
          <w:kern w:val="2"/>
          <w:sz w:val="21"/>
          <w:szCs w:val="21"/>
          <w:lang w:val="en-US" w:eastAsia="zh-CN" w:bidi="ar-SA"/>
        </w:rPr>
        <w:t>六、付款方式</w:t>
      </w:r>
    </w:p>
    <w:p w14:paraId="13D25A48">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本项目一次性规划，分步实施，按实结算，货到验收合格、收到正规发票后6个月内付款。</w:t>
      </w:r>
      <w:bookmarkEnd w:id="0"/>
      <w:bookmarkEnd w:id="1"/>
    </w:p>
    <w:p w14:paraId="094E6868">
      <w:pPr>
        <w:pStyle w:val="11"/>
        <w:rPr>
          <w:rFonts w:hint="default" w:eastAsia="宋体"/>
          <w:b/>
          <w:bCs/>
          <w:highlight w:val="none"/>
          <w:lang w:val="en-US" w:eastAsia="zh-CN"/>
        </w:rPr>
      </w:pPr>
      <w:r>
        <w:rPr>
          <w:rFonts w:hint="eastAsia"/>
          <w:b/>
          <w:bCs/>
          <w:highlight w:val="none"/>
          <w:lang w:val="en-US" w:eastAsia="zh-CN"/>
        </w:rPr>
        <w:t>附件：考核表</w:t>
      </w:r>
    </w:p>
    <w:p w14:paraId="40C2D831">
      <w:pPr>
        <w:pStyle w:val="11"/>
        <w:rPr>
          <w:rFonts w:hint="eastAsia"/>
          <w:highlight w:val="none"/>
        </w:rPr>
      </w:pPr>
    </w:p>
    <w:tbl>
      <w:tblPr>
        <w:tblStyle w:val="8"/>
        <w:tblW w:w="9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58"/>
        <w:gridCol w:w="6202"/>
      </w:tblGrid>
      <w:tr w14:paraId="6E74D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9"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noWrap/>
            <w:vAlign w:val="center"/>
          </w:tcPr>
          <w:p w14:paraId="0D5C757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医用试剂年度服务期考核指标（85分</w:t>
            </w:r>
            <w:r>
              <w:rPr>
                <w:rFonts w:hint="eastAsia" w:ascii="宋体" w:hAnsi="宋体" w:cs="宋体"/>
                <w:b/>
                <w:bCs/>
                <w:i w:val="0"/>
                <w:iCs w:val="0"/>
                <w:color w:val="000000"/>
                <w:kern w:val="0"/>
                <w:sz w:val="21"/>
                <w:szCs w:val="21"/>
                <w:u w:val="none"/>
                <w:lang w:val="en-US" w:eastAsia="zh-CN" w:bidi="ar"/>
              </w:rPr>
              <w:t>及以上</w:t>
            </w:r>
            <w:bookmarkStart w:id="2" w:name="_GoBack"/>
            <w:bookmarkEnd w:id="2"/>
            <w:r>
              <w:rPr>
                <w:rFonts w:hint="eastAsia" w:ascii="宋体" w:hAnsi="宋体" w:eastAsia="宋体" w:cs="宋体"/>
                <w:b/>
                <w:bCs/>
                <w:i w:val="0"/>
                <w:iCs w:val="0"/>
                <w:color w:val="000000"/>
                <w:kern w:val="0"/>
                <w:sz w:val="21"/>
                <w:szCs w:val="21"/>
                <w:u w:val="none"/>
                <w:lang w:val="en-US" w:eastAsia="zh-CN" w:bidi="ar"/>
              </w:rPr>
              <w:t>合格）</w:t>
            </w:r>
          </w:p>
        </w:tc>
      </w:tr>
      <w:tr w14:paraId="79FC2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5" w:hRule="atLeast"/>
          <w:jc w:val="center"/>
        </w:trPr>
        <w:tc>
          <w:tcPr>
            <w:tcW w:w="2858" w:type="dxa"/>
            <w:tcBorders>
              <w:top w:val="single" w:color="000000" w:sz="4" w:space="0"/>
              <w:left w:val="single" w:color="000000" w:sz="4" w:space="0"/>
              <w:bottom w:val="single" w:color="000000" w:sz="4" w:space="0"/>
              <w:right w:val="single" w:color="000000" w:sz="4" w:space="0"/>
            </w:tcBorders>
            <w:noWrap/>
            <w:vAlign w:val="center"/>
          </w:tcPr>
          <w:p w14:paraId="3E88E18C">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产品品质保证能力：30分</w:t>
            </w:r>
          </w:p>
        </w:tc>
        <w:tc>
          <w:tcPr>
            <w:tcW w:w="6202" w:type="dxa"/>
            <w:tcBorders>
              <w:top w:val="single" w:color="000000" w:sz="4" w:space="0"/>
              <w:left w:val="single" w:color="000000" w:sz="4" w:space="0"/>
              <w:bottom w:val="single" w:color="000000" w:sz="4" w:space="0"/>
              <w:right w:val="single" w:color="000000" w:sz="4" w:space="0"/>
            </w:tcBorders>
            <w:noWrap w:val="0"/>
            <w:vAlign w:val="center"/>
          </w:tcPr>
          <w:p w14:paraId="4BE38307">
            <w:pPr>
              <w:keepNext w:val="0"/>
              <w:keepLines w:val="0"/>
              <w:widowControl/>
              <w:suppressLineNumbers w:val="0"/>
              <w:jc w:val="left"/>
              <w:textAlignment w:val="center"/>
              <w:rPr>
                <w:rFonts w:hint="eastAsia" w:ascii="宋体" w:hAnsi="宋体" w:eastAsia="宋体" w:cs="宋体"/>
                <w:i w:val="0"/>
                <w:iCs w:val="0"/>
                <w:color w:val="1F1F1F"/>
                <w:sz w:val="21"/>
                <w:szCs w:val="21"/>
                <w:u w:val="none"/>
              </w:rPr>
            </w:pPr>
            <w:r>
              <w:rPr>
                <w:rStyle w:val="12"/>
                <w:rFonts w:hint="eastAsia" w:ascii="宋体" w:hAnsi="宋体" w:eastAsia="宋体" w:cs="宋体"/>
                <w:sz w:val="21"/>
                <w:szCs w:val="21"/>
                <w:lang w:val="en-US" w:eastAsia="zh-CN" w:bidi="ar"/>
              </w:rPr>
              <w:t>①签订供应商服务承诺书、购销廉洁承诺书，未签订扣5分；</w:t>
            </w:r>
            <w:r>
              <w:rPr>
                <w:rStyle w:val="13"/>
                <w:rFonts w:hint="eastAsia" w:ascii="宋体" w:hAnsi="宋体" w:eastAsia="宋体" w:cs="宋体"/>
                <w:sz w:val="21"/>
                <w:szCs w:val="21"/>
                <w:lang w:val="en-US" w:eastAsia="zh-CN" w:bidi="ar"/>
              </w:rPr>
              <w:br w:type="textWrapping"/>
            </w:r>
            <w:r>
              <w:rPr>
                <w:rStyle w:val="12"/>
                <w:rFonts w:hint="eastAsia" w:ascii="宋体" w:hAnsi="宋体" w:eastAsia="宋体" w:cs="宋体"/>
                <w:sz w:val="21"/>
                <w:szCs w:val="21"/>
                <w:lang w:val="en-US" w:eastAsia="zh-CN" w:bidi="ar"/>
              </w:rPr>
              <w:t>②产品发生质量问题一次扣</w:t>
            </w:r>
            <w:r>
              <w:rPr>
                <w:rStyle w:val="13"/>
                <w:rFonts w:hint="eastAsia" w:ascii="宋体" w:hAnsi="宋体" w:eastAsia="宋体" w:cs="宋体"/>
                <w:sz w:val="21"/>
                <w:szCs w:val="21"/>
                <w:lang w:val="en-US" w:eastAsia="zh-CN" w:bidi="ar"/>
              </w:rPr>
              <w:t>5</w:t>
            </w:r>
            <w:r>
              <w:rPr>
                <w:rStyle w:val="12"/>
                <w:rFonts w:hint="eastAsia" w:ascii="宋体" w:hAnsi="宋体" w:eastAsia="宋体" w:cs="宋体"/>
                <w:sz w:val="21"/>
                <w:szCs w:val="21"/>
                <w:lang w:val="en-US" w:eastAsia="zh-CN" w:bidi="ar"/>
              </w:rPr>
              <w:t>分；</w:t>
            </w:r>
            <w:r>
              <w:rPr>
                <w:rStyle w:val="13"/>
                <w:rFonts w:hint="eastAsia" w:ascii="宋体" w:hAnsi="宋体" w:eastAsia="宋体" w:cs="宋体"/>
                <w:sz w:val="21"/>
                <w:szCs w:val="21"/>
                <w:lang w:val="en-US" w:eastAsia="zh-CN" w:bidi="ar"/>
              </w:rPr>
              <w:br w:type="textWrapping"/>
            </w:r>
            <w:r>
              <w:rPr>
                <w:rStyle w:val="12"/>
                <w:rFonts w:hint="eastAsia" w:ascii="宋体" w:hAnsi="宋体" w:eastAsia="宋体" w:cs="宋体"/>
                <w:sz w:val="21"/>
                <w:szCs w:val="21"/>
                <w:lang w:val="en-US" w:eastAsia="zh-CN" w:bidi="ar"/>
              </w:rPr>
              <w:t>③未按照医院要求提供产品检验报告、随货同行或提供的批检报告与实物不符或批检报告未加盖供应商的印章等，发生一次扣</w:t>
            </w:r>
            <w:r>
              <w:rPr>
                <w:rStyle w:val="13"/>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分。</w:t>
            </w:r>
          </w:p>
        </w:tc>
      </w:tr>
      <w:tr w14:paraId="5FD21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jc w:val="center"/>
        </w:trPr>
        <w:tc>
          <w:tcPr>
            <w:tcW w:w="2858" w:type="dxa"/>
            <w:tcBorders>
              <w:top w:val="single" w:color="000000" w:sz="4" w:space="0"/>
              <w:left w:val="single" w:color="000000" w:sz="4" w:space="0"/>
              <w:bottom w:val="single" w:color="000000" w:sz="4" w:space="0"/>
              <w:right w:val="single" w:color="000000" w:sz="4" w:space="0"/>
            </w:tcBorders>
            <w:noWrap/>
            <w:vAlign w:val="center"/>
          </w:tcPr>
          <w:p w14:paraId="0A8B8AE3">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产品的资质证件：25分</w:t>
            </w:r>
          </w:p>
        </w:tc>
        <w:tc>
          <w:tcPr>
            <w:tcW w:w="6202" w:type="dxa"/>
            <w:tcBorders>
              <w:top w:val="single" w:color="000000" w:sz="4" w:space="0"/>
              <w:left w:val="single" w:color="000000" w:sz="4" w:space="0"/>
              <w:bottom w:val="single" w:color="000000" w:sz="4" w:space="0"/>
              <w:right w:val="single" w:color="000000" w:sz="4" w:space="0"/>
            </w:tcBorders>
            <w:noWrap w:val="0"/>
            <w:vAlign w:val="center"/>
          </w:tcPr>
          <w:p w14:paraId="3C889ED8">
            <w:pPr>
              <w:keepNext w:val="0"/>
              <w:keepLines w:val="0"/>
              <w:widowControl/>
              <w:suppressLineNumbers w:val="0"/>
              <w:jc w:val="left"/>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提供合格的供应商、生产企业以及产品的资质，包括供应商年检内的营业执照、生产厂家有效期内的生产许可证、有效期内的产品注册证（备案文件）等。一项不合格扣5分。</w:t>
            </w:r>
          </w:p>
        </w:tc>
      </w:tr>
      <w:tr w14:paraId="7247F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5" w:hRule="atLeast"/>
          <w:jc w:val="center"/>
        </w:trPr>
        <w:tc>
          <w:tcPr>
            <w:tcW w:w="2858" w:type="dxa"/>
            <w:tcBorders>
              <w:top w:val="single" w:color="000000" w:sz="4" w:space="0"/>
              <w:left w:val="single" w:color="000000" w:sz="4" w:space="0"/>
              <w:bottom w:val="single" w:color="000000" w:sz="4" w:space="0"/>
              <w:right w:val="single" w:color="000000" w:sz="4" w:space="0"/>
            </w:tcBorders>
            <w:noWrap/>
            <w:vAlign w:val="center"/>
          </w:tcPr>
          <w:p w14:paraId="09DD2B0C">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供货情况：20分</w:t>
            </w:r>
          </w:p>
        </w:tc>
        <w:tc>
          <w:tcPr>
            <w:tcW w:w="6202" w:type="dxa"/>
            <w:tcBorders>
              <w:top w:val="single" w:color="000000" w:sz="4" w:space="0"/>
              <w:left w:val="single" w:color="000000" w:sz="4" w:space="0"/>
              <w:bottom w:val="single" w:color="000000" w:sz="4" w:space="0"/>
              <w:right w:val="single" w:color="000000" w:sz="4" w:space="0"/>
            </w:tcBorders>
            <w:noWrap w:val="0"/>
            <w:vAlign w:val="center"/>
          </w:tcPr>
          <w:p w14:paraId="687840ED">
            <w:pPr>
              <w:keepNext w:val="0"/>
              <w:keepLines w:val="0"/>
              <w:widowControl/>
              <w:suppressLineNumbers w:val="0"/>
              <w:jc w:val="left"/>
              <w:textAlignment w:val="center"/>
              <w:rPr>
                <w:rFonts w:hint="eastAsia" w:ascii="宋体" w:hAnsi="宋体" w:eastAsia="宋体" w:cs="宋体"/>
                <w:i w:val="0"/>
                <w:iCs w:val="0"/>
                <w:color w:val="1F1F1F"/>
                <w:sz w:val="21"/>
                <w:szCs w:val="21"/>
                <w:u w:val="none"/>
              </w:rPr>
            </w:pPr>
            <w:r>
              <w:rPr>
                <w:rStyle w:val="12"/>
                <w:rFonts w:hint="eastAsia" w:ascii="宋体" w:hAnsi="宋体" w:eastAsia="宋体" w:cs="宋体"/>
                <w:sz w:val="21"/>
                <w:szCs w:val="21"/>
                <w:lang w:val="en-US" w:eastAsia="zh-CN" w:bidi="ar"/>
              </w:rPr>
              <w:t>①未按照采购员提出的供货时间送货，发生一次扣</w:t>
            </w:r>
            <w:r>
              <w:rPr>
                <w:rStyle w:val="13"/>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分；</w:t>
            </w:r>
            <w:r>
              <w:rPr>
                <w:rStyle w:val="13"/>
                <w:rFonts w:hint="eastAsia" w:ascii="宋体" w:hAnsi="宋体" w:eastAsia="宋体" w:cs="宋体"/>
                <w:sz w:val="21"/>
                <w:szCs w:val="21"/>
                <w:lang w:val="en-US" w:eastAsia="zh-CN" w:bidi="ar"/>
              </w:rPr>
              <w:br w:type="textWrapping"/>
            </w:r>
            <w:r>
              <w:rPr>
                <w:rStyle w:val="12"/>
                <w:rFonts w:hint="eastAsia" w:ascii="宋体" w:hAnsi="宋体" w:eastAsia="宋体" w:cs="宋体"/>
                <w:sz w:val="21"/>
                <w:szCs w:val="21"/>
                <w:lang w:val="en-US" w:eastAsia="zh-CN" w:bidi="ar"/>
              </w:rPr>
              <w:t>②供应商应按采购员通知的产品名称、规格型号、数量供货。多送、少送均视为未按要求送货，发生一次扣</w:t>
            </w:r>
            <w:r>
              <w:rPr>
                <w:rStyle w:val="13"/>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分。</w:t>
            </w:r>
          </w:p>
        </w:tc>
      </w:tr>
      <w:tr w14:paraId="12607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7" w:hRule="atLeast"/>
          <w:jc w:val="center"/>
        </w:trPr>
        <w:tc>
          <w:tcPr>
            <w:tcW w:w="2858" w:type="dxa"/>
            <w:tcBorders>
              <w:top w:val="single" w:color="000000" w:sz="4" w:space="0"/>
              <w:left w:val="single" w:color="000000" w:sz="4" w:space="0"/>
              <w:bottom w:val="single" w:color="000000" w:sz="4" w:space="0"/>
              <w:right w:val="single" w:color="000000" w:sz="4" w:space="0"/>
            </w:tcBorders>
            <w:noWrap/>
            <w:vAlign w:val="center"/>
          </w:tcPr>
          <w:p w14:paraId="12CD4E3F">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服务情况：25分</w:t>
            </w:r>
          </w:p>
        </w:tc>
        <w:tc>
          <w:tcPr>
            <w:tcW w:w="6202" w:type="dxa"/>
            <w:tcBorders>
              <w:top w:val="single" w:color="000000" w:sz="4" w:space="0"/>
              <w:left w:val="single" w:color="000000" w:sz="4" w:space="0"/>
              <w:bottom w:val="single" w:color="000000" w:sz="4" w:space="0"/>
              <w:right w:val="single" w:color="000000" w:sz="4" w:space="0"/>
            </w:tcBorders>
            <w:noWrap w:val="0"/>
            <w:vAlign w:val="center"/>
          </w:tcPr>
          <w:p w14:paraId="4AA43D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①库房验货需要退货、换货，供应商未按库房要求及时办理的，发生一次扣5分;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②供应商未按医院的要求开具送货单、票据的，发生一次扣5分；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③所有产品都必须送达库房，并按要求摆放整齐，违反一次扣5分；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④因使用产品导致可疑医疗器械不良事件、医疗纠纷等，供应商应按医院通知的时间到院处理，若供应商不能积极配合妥善处理的，发生一次扣10分。</w:t>
            </w:r>
          </w:p>
        </w:tc>
      </w:tr>
    </w:tbl>
    <w:p w14:paraId="4B799498"/>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85DDD">
    <w:pPr>
      <w:pStyle w:val="6"/>
      <w:pBdr>
        <w:top w:val="single" w:color="auto" w:sz="4"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4F3CE">
                          <w:pPr>
                            <w:pStyle w:val="6"/>
                          </w:pPr>
                          <w:r>
                            <w:fldChar w:fldCharType="begin"/>
                          </w:r>
                          <w:r>
                            <w:instrText xml:space="preserve"> PAGE  \* MERGEFORMAT </w:instrText>
                          </w:r>
                          <w:r>
                            <w:fldChar w:fldCharType="separate"/>
                          </w:r>
                          <w:r>
                            <w:t>一</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A44F3CE">
                    <w:pPr>
                      <w:pStyle w:val="6"/>
                    </w:pPr>
                    <w:r>
                      <w:fldChar w:fldCharType="begin"/>
                    </w:r>
                    <w:r>
                      <w:instrText xml:space="preserve"> PAGE  \* MERGEFORMAT </w:instrText>
                    </w:r>
                    <w:r>
                      <w:fldChar w:fldCharType="separate"/>
                    </w:r>
                    <w:r>
                      <w:t>一</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197B4F"/>
    <w:multiLevelType w:val="singleLevel"/>
    <w:tmpl w:val="49197B4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C6675E"/>
    <w:rsid w:val="5CB563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rPr>
      <w:rFonts w:ascii="楷体_GB2312" w:hAnsi="Arial" w:eastAsia="楷体_GB2312"/>
      <w:sz w:val="20"/>
    </w:rPr>
  </w:style>
  <w:style w:type="paragraph" w:styleId="4">
    <w:name w:val="Body Text Indent"/>
    <w:basedOn w:val="1"/>
    <w:next w:val="5"/>
    <w:qFormat/>
    <w:uiPriority w:val="0"/>
    <w:pPr>
      <w:ind w:firstLine="645"/>
    </w:pPr>
    <w:rPr>
      <w:sz w:val="20"/>
    </w:rPr>
  </w:style>
  <w:style w:type="paragraph" w:styleId="5">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Paragraph"/>
    <w:basedOn w:val="1"/>
    <w:qFormat/>
    <w:uiPriority w:val="99"/>
    <w:pPr>
      <w:ind w:firstLine="420" w:firstLineChars="200"/>
    </w:pPr>
    <w:rPr>
      <w:szCs w:val="24"/>
    </w:rPr>
  </w:style>
  <w:style w:type="paragraph" w:customStyle="1" w:styleId="11">
    <w:name w:val="模板普通正文"/>
    <w:basedOn w:val="4"/>
    <w:qFormat/>
    <w:uiPriority w:val="0"/>
    <w:pPr>
      <w:spacing w:beforeLines="50" w:after="10"/>
      <w:ind w:left="420" w:leftChars="200" w:firstLine="490" w:firstLineChars="175"/>
      <w:jc w:val="left"/>
    </w:pPr>
    <w:rPr>
      <w:sz w:val="21"/>
      <w:szCs w:val="24"/>
    </w:rPr>
  </w:style>
  <w:style w:type="character" w:customStyle="1" w:styleId="12">
    <w:name w:val="font21"/>
    <w:basedOn w:val="9"/>
    <w:qFormat/>
    <w:uiPriority w:val="0"/>
    <w:rPr>
      <w:rFonts w:hint="eastAsia" w:ascii="宋体" w:hAnsi="宋体" w:eastAsia="宋体" w:cs="宋体"/>
      <w:color w:val="1F1F1F"/>
      <w:sz w:val="21"/>
      <w:szCs w:val="21"/>
      <w:u w:val="none"/>
    </w:rPr>
  </w:style>
  <w:style w:type="character" w:customStyle="1" w:styleId="13">
    <w:name w:val="font31"/>
    <w:basedOn w:val="9"/>
    <w:qFormat/>
    <w:uiPriority w:val="0"/>
    <w:rPr>
      <w:rFonts w:ascii="PingFang SC" w:hAnsi="PingFang SC" w:eastAsia="PingFang SC" w:cs="PingFang SC"/>
      <w:color w:val="1F1F1F"/>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1764</Words>
  <Characters>1890</Characters>
  <Lines>0</Lines>
  <Paragraphs>0</Paragraphs>
  <TotalTime>0</TotalTime>
  <ScaleCrop>false</ScaleCrop>
  <LinksUpToDate>false</LinksUpToDate>
  <CharactersWithSpaces>1900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mac</dc:creator>
  <cp:lastModifiedBy>青山隐隐</cp:lastModifiedBy>
  <dcterms:modified xsi:type="dcterms:W3CDTF">2025-07-15T00:50:33Z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eyJoZGlkIjoiYmUxMmZmNWFhZWJjODQ4ZDAzOGJjNjFhYTBjMjc3MzEiLCJ1c2VySWQiOiIzNzkwODk2NDUifQ==</vt:lpwstr>
  </property>
  <property fmtid="{D5CDD505-2E9C-101B-9397-08002B2CF9AE}" pid="4" name="ICV">
    <vt:lpwstr>53056FE04C74450A8929218237BE99DF_12</vt:lpwstr>
  </property>
</Properties>
</file>