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F5B90">
      <w:pPr>
        <w:pStyle w:val="2"/>
        <w:spacing w:before="62" w:beforeLines="20" w:after="62" w:afterLines="20" w:line="360" w:lineRule="auto"/>
        <w:ind w:firstLine="0" w:firstLineChars="0"/>
        <w:jc w:val="center"/>
        <w:rPr>
          <w:rFonts w:hint="eastAsia" w:asciiTheme="majorEastAsia" w:hAnsiTheme="majorEastAsia" w:eastAsiaTheme="majorEastAsia" w:cstheme="majorEastAsia"/>
          <w:b/>
          <w:i w:val="0"/>
          <w:kern w:val="2"/>
          <w:sz w:val="32"/>
          <w:szCs w:val="32"/>
          <w:lang w:val="en-US" w:eastAsia="zh-CN" w:bidi="ar-SA"/>
        </w:rPr>
      </w:pPr>
      <w:r>
        <w:rPr>
          <w:rFonts w:hint="eastAsia" w:asciiTheme="majorEastAsia" w:hAnsiTheme="majorEastAsia" w:eastAsiaTheme="majorEastAsia" w:cstheme="majorEastAsia"/>
          <w:b/>
          <w:i w:val="0"/>
          <w:kern w:val="2"/>
          <w:sz w:val="32"/>
          <w:szCs w:val="32"/>
          <w:lang w:val="zh-CN" w:eastAsia="zh-CN" w:bidi="ar-SA"/>
        </w:rPr>
        <w:t>货物需求及参数要求</w:t>
      </w:r>
    </w:p>
    <w:p w14:paraId="0BB40729">
      <w:pPr>
        <w:widowControl/>
        <w:numPr>
          <w:ilvl w:val="0"/>
          <w:numId w:val="0"/>
        </w:numPr>
        <w:spacing w:line="360" w:lineRule="auto"/>
        <w:ind w:firstLine="480" w:firstLineChars="200"/>
        <w:jc w:val="left"/>
        <w:rPr>
          <w:rFonts w:hint="eastAsia" w:asciiTheme="minorEastAsia" w:hAnsiTheme="minorEastAsia" w:eastAsiaTheme="minorEastAsia" w:cstheme="minorEastAsia"/>
          <w:b/>
          <w:bCs/>
          <w:sz w:val="21"/>
          <w:szCs w:val="21"/>
          <w:lang w:val="en-US" w:eastAsia="zh-CN"/>
        </w:rPr>
      </w:pPr>
      <w:r>
        <w:rPr>
          <w:rFonts w:ascii="宋体" w:hAnsi="宋体" w:eastAsia="宋体"/>
          <w:color w:val="auto"/>
          <w:sz w:val="24"/>
          <w:szCs w:val="18"/>
          <w:highlight w:val="none"/>
        </w:rPr>
        <w:t>根据《</w:t>
      </w:r>
      <w:r>
        <w:rPr>
          <w:rFonts w:hint="eastAsia" w:ascii="宋体" w:hAnsi="宋体" w:eastAsia="宋体"/>
          <w:color w:val="auto"/>
          <w:sz w:val="24"/>
          <w:szCs w:val="18"/>
          <w:highlight w:val="none"/>
        </w:rPr>
        <w:t>政府采购进口产品管理办法</w:t>
      </w:r>
      <w:r>
        <w:rPr>
          <w:rFonts w:ascii="宋体" w:hAnsi="宋体" w:eastAsia="宋体"/>
          <w:color w:val="auto"/>
          <w:sz w:val="24"/>
          <w:szCs w:val="18"/>
          <w:highlight w:val="none"/>
        </w:rPr>
        <w:t>》及政府采购管理部门的相关规定，下列采购需求中</w:t>
      </w:r>
      <w:r>
        <w:rPr>
          <w:rFonts w:hint="eastAsia" w:ascii="宋体" w:hAnsi="宋体" w:eastAsia="宋体"/>
          <w:color w:val="auto"/>
          <w:sz w:val="24"/>
          <w:szCs w:val="18"/>
          <w:highlight w:val="none"/>
        </w:rPr>
        <w:t>标注进口产品的货物均</w:t>
      </w:r>
      <w:r>
        <w:rPr>
          <w:rFonts w:ascii="宋体" w:hAnsi="宋体" w:eastAsia="宋体"/>
          <w:color w:val="auto"/>
          <w:sz w:val="24"/>
          <w:szCs w:val="18"/>
          <w:highlight w:val="none"/>
        </w:rPr>
        <w:t>已履行相关论证手续，经核准采购进口</w:t>
      </w:r>
      <w:r>
        <w:rPr>
          <w:rFonts w:hint="eastAsia" w:ascii="宋体" w:hAnsi="宋体" w:eastAsia="宋体"/>
          <w:color w:val="auto"/>
          <w:sz w:val="24"/>
          <w:szCs w:val="18"/>
          <w:highlight w:val="none"/>
        </w:rPr>
        <w:t>产品</w:t>
      </w:r>
      <w:r>
        <w:rPr>
          <w:rFonts w:ascii="宋体" w:hAnsi="宋体" w:eastAsia="宋体"/>
          <w:color w:val="auto"/>
          <w:sz w:val="24"/>
          <w:szCs w:val="18"/>
          <w:highlight w:val="none"/>
        </w:rPr>
        <w:t>，但不限制满足</w:t>
      </w:r>
      <w:r>
        <w:rPr>
          <w:rFonts w:hint="eastAsia" w:ascii="宋体" w:hAnsi="宋体" w:eastAsia="宋体"/>
          <w:color w:val="auto"/>
          <w:sz w:val="24"/>
          <w:szCs w:val="18"/>
          <w:highlight w:val="none"/>
        </w:rPr>
        <w:t>谈判</w:t>
      </w:r>
      <w:r>
        <w:rPr>
          <w:rFonts w:ascii="宋体" w:hAnsi="宋体" w:eastAsia="宋体"/>
          <w:color w:val="auto"/>
          <w:sz w:val="24"/>
          <w:szCs w:val="18"/>
          <w:highlight w:val="none"/>
        </w:rPr>
        <w:t>文件要求的国内产品参与竞争</w:t>
      </w:r>
      <w:r>
        <w:rPr>
          <w:rFonts w:hint="eastAsia" w:ascii="宋体" w:hAnsi="宋体" w:eastAsia="宋体"/>
          <w:color w:val="auto"/>
          <w:sz w:val="24"/>
          <w:szCs w:val="18"/>
          <w:highlight w:val="none"/>
        </w:rPr>
        <w:t>。未标注进口产品的货物均</w:t>
      </w:r>
      <w:r>
        <w:rPr>
          <w:rFonts w:ascii="宋体" w:hAnsi="宋体" w:eastAsia="宋体"/>
          <w:color w:val="auto"/>
          <w:sz w:val="24"/>
          <w:szCs w:val="18"/>
          <w:highlight w:val="none"/>
        </w:rPr>
        <w:t>为拒绝采购进口产品</w:t>
      </w:r>
      <w:r>
        <w:rPr>
          <w:rFonts w:hint="eastAsia" w:ascii="宋体" w:hAnsi="宋体" w:eastAsia="宋体"/>
          <w:color w:val="auto"/>
          <w:sz w:val="24"/>
          <w:szCs w:val="18"/>
          <w:highlight w:val="none"/>
        </w:rPr>
        <w:t>。</w:t>
      </w:r>
    </w:p>
    <w:p w14:paraId="69A60CB6">
      <w:pPr>
        <w:widowControl/>
        <w:numPr>
          <w:ilvl w:val="0"/>
          <w:numId w:val="0"/>
        </w:numPr>
        <w:spacing w:line="360" w:lineRule="auto"/>
        <w:ind w:firstLine="422" w:firstLineChars="200"/>
        <w:jc w:val="left"/>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一、</w:t>
      </w:r>
      <w:r>
        <w:rPr>
          <w:rFonts w:hint="eastAsia" w:asciiTheme="minorEastAsia" w:hAnsiTheme="minorEastAsia" w:eastAsiaTheme="minorEastAsia" w:cstheme="minorEastAsia"/>
          <w:b/>
          <w:bCs/>
          <w:sz w:val="21"/>
          <w:szCs w:val="21"/>
        </w:rPr>
        <w:t>货物需求一览表</w:t>
      </w:r>
    </w:p>
    <w:tbl>
      <w:tblPr>
        <w:tblStyle w:val="6"/>
        <w:tblW w:w="9699" w:type="dxa"/>
        <w:jc w:val="center"/>
        <w:tblLayout w:type="fixed"/>
        <w:tblCellMar>
          <w:top w:w="0" w:type="dxa"/>
          <w:left w:w="108" w:type="dxa"/>
          <w:bottom w:w="0" w:type="dxa"/>
          <w:right w:w="108" w:type="dxa"/>
        </w:tblCellMar>
      </w:tblPr>
      <w:tblGrid>
        <w:gridCol w:w="760"/>
        <w:gridCol w:w="880"/>
        <w:gridCol w:w="3668"/>
        <w:gridCol w:w="600"/>
        <w:gridCol w:w="1095"/>
        <w:gridCol w:w="1125"/>
        <w:gridCol w:w="742"/>
        <w:gridCol w:w="829"/>
      </w:tblGrid>
      <w:tr w14:paraId="4AEFAF6B">
        <w:tblPrEx>
          <w:tblCellMar>
            <w:top w:w="0" w:type="dxa"/>
            <w:left w:w="108" w:type="dxa"/>
            <w:bottom w:w="0" w:type="dxa"/>
            <w:right w:w="108" w:type="dxa"/>
          </w:tblCellMar>
        </w:tblPrEx>
        <w:trPr>
          <w:trHeight w:val="652" w:hRule="atLeast"/>
          <w:jc w:val="center"/>
        </w:trPr>
        <w:tc>
          <w:tcPr>
            <w:tcW w:w="760" w:type="dxa"/>
            <w:tcBorders>
              <w:top w:val="single" w:color="000000" w:sz="4" w:space="0"/>
              <w:left w:val="single" w:color="000000" w:sz="4" w:space="0"/>
              <w:bottom w:val="single" w:color="auto" w:sz="4" w:space="0"/>
              <w:right w:val="single" w:color="000000" w:sz="4" w:space="0"/>
            </w:tcBorders>
            <w:noWrap/>
            <w:vAlign w:val="center"/>
          </w:tcPr>
          <w:p w14:paraId="1B4FB8A0">
            <w:pPr>
              <w:widowControl/>
              <w:spacing w:line="240" w:lineRule="auto"/>
              <w:jc w:val="center"/>
              <w:textAlignment w:val="center"/>
              <w:rPr>
                <w:rFonts w:hint="eastAsia" w:asciiTheme="minorEastAsia" w:hAnsiTheme="minorEastAsia" w:eastAsiaTheme="minorEastAsia" w:cstheme="minorEastAsia"/>
                <w:b/>
                <w:bCs/>
                <w:sz w:val="21"/>
                <w:szCs w:val="21"/>
                <w:lang w:eastAsia="zh-CN"/>
              </w:rPr>
            </w:pPr>
            <w:bookmarkStart w:id="0" w:name="_Hlk96158360"/>
            <w:bookmarkStart w:id="1" w:name="_Hlk106267351"/>
            <w:r>
              <w:rPr>
                <w:rFonts w:hint="eastAsia" w:asciiTheme="minorEastAsia" w:hAnsiTheme="minorEastAsia" w:eastAsiaTheme="minorEastAsia" w:cstheme="minorEastAsia"/>
                <w:b/>
                <w:bCs/>
                <w:kern w:val="0"/>
                <w:sz w:val="21"/>
                <w:szCs w:val="21"/>
                <w:lang w:val="en-US" w:eastAsia="zh-CN" w:bidi="ar"/>
              </w:rPr>
              <w:t>序号</w:t>
            </w:r>
          </w:p>
        </w:tc>
        <w:tc>
          <w:tcPr>
            <w:tcW w:w="880" w:type="dxa"/>
            <w:tcBorders>
              <w:top w:val="single" w:color="000000" w:sz="4" w:space="0"/>
              <w:left w:val="single" w:color="000000" w:sz="4" w:space="0"/>
              <w:bottom w:val="single" w:color="auto" w:sz="4" w:space="0"/>
              <w:right w:val="single" w:color="000000" w:sz="4" w:space="0"/>
            </w:tcBorders>
            <w:noWrap/>
            <w:vAlign w:val="center"/>
          </w:tcPr>
          <w:p w14:paraId="5C6A8CF1">
            <w:pPr>
              <w:widowControl/>
              <w:spacing w:line="240" w:lineRule="auto"/>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lang w:bidi="ar"/>
              </w:rPr>
              <w:t>名称</w:t>
            </w:r>
          </w:p>
        </w:tc>
        <w:tc>
          <w:tcPr>
            <w:tcW w:w="3668" w:type="dxa"/>
            <w:tcBorders>
              <w:top w:val="single" w:color="000000" w:sz="4" w:space="0"/>
              <w:left w:val="single" w:color="000000" w:sz="4" w:space="0"/>
              <w:bottom w:val="single" w:color="auto" w:sz="4" w:space="0"/>
              <w:right w:val="single" w:color="000000" w:sz="4" w:space="0"/>
            </w:tcBorders>
            <w:noWrap/>
            <w:vAlign w:val="center"/>
          </w:tcPr>
          <w:p w14:paraId="7EADE9F1">
            <w:pPr>
              <w:widowControl/>
              <w:spacing w:line="240" w:lineRule="auto"/>
              <w:jc w:val="center"/>
              <w:textAlignment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kern w:val="0"/>
                <w:sz w:val="21"/>
                <w:szCs w:val="21"/>
                <w:lang w:bidi="ar"/>
              </w:rPr>
              <w:t>技术参数</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70F4AE12">
            <w:pPr>
              <w:widowControl/>
              <w:spacing w:line="240" w:lineRule="auto"/>
              <w:jc w:val="center"/>
              <w:textAlignment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kern w:val="0"/>
                <w:sz w:val="21"/>
                <w:szCs w:val="21"/>
                <w:lang w:bidi="ar"/>
              </w:rPr>
              <w:t>单位</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5C6DB8D">
            <w:pPr>
              <w:widowControl/>
              <w:spacing w:line="240" w:lineRule="auto"/>
              <w:jc w:val="center"/>
              <w:textAlignment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kern w:val="0"/>
                <w:sz w:val="21"/>
                <w:szCs w:val="21"/>
                <w:lang w:bidi="ar"/>
              </w:rPr>
              <w:t>三年预估</w:t>
            </w:r>
          </w:p>
          <w:p w14:paraId="68E1A988">
            <w:pPr>
              <w:widowControl/>
              <w:spacing w:line="240" w:lineRule="auto"/>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lang w:bidi="ar"/>
              </w:rPr>
              <w:t>使用量</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DBC7C4A">
            <w:pPr>
              <w:widowControl/>
              <w:spacing w:line="240" w:lineRule="auto"/>
              <w:jc w:val="center"/>
              <w:textAlignment w:val="center"/>
              <w:rPr>
                <w:rFonts w:hint="eastAsia" w:asciiTheme="minorEastAsia" w:hAnsiTheme="minorEastAsia" w:eastAsiaTheme="minorEastAsia" w:cstheme="minorEastAsia"/>
                <w:b/>
                <w:bCs/>
                <w:kern w:val="0"/>
                <w:sz w:val="21"/>
                <w:szCs w:val="21"/>
                <w:lang w:val="en-US" w:eastAsia="zh-CN" w:bidi="ar"/>
              </w:rPr>
            </w:pPr>
            <w:r>
              <w:rPr>
                <w:rFonts w:hint="eastAsia" w:asciiTheme="minorEastAsia" w:hAnsiTheme="minorEastAsia" w:eastAsiaTheme="minorEastAsia" w:cstheme="minorEastAsia"/>
                <w:b/>
                <w:bCs/>
                <w:kern w:val="0"/>
                <w:sz w:val="21"/>
                <w:szCs w:val="21"/>
                <w:lang w:bidi="ar"/>
              </w:rPr>
              <w:t>拟采购</w:t>
            </w:r>
            <w:r>
              <w:rPr>
                <w:rFonts w:hint="eastAsia" w:asciiTheme="minorEastAsia" w:hAnsiTheme="minorEastAsia" w:eastAsiaTheme="minorEastAsia" w:cstheme="minorEastAsia"/>
                <w:b/>
                <w:bCs/>
                <w:kern w:val="0"/>
                <w:sz w:val="21"/>
                <w:szCs w:val="21"/>
                <w:lang w:val="en-US" w:eastAsia="zh-CN" w:bidi="ar"/>
              </w:rPr>
              <w:t>单价最高</w:t>
            </w:r>
            <w:r>
              <w:rPr>
                <w:rFonts w:hint="eastAsia" w:asciiTheme="minorEastAsia" w:hAnsiTheme="minorEastAsia" w:eastAsiaTheme="minorEastAsia" w:cstheme="minorEastAsia"/>
                <w:b/>
                <w:bCs/>
                <w:kern w:val="0"/>
                <w:sz w:val="21"/>
                <w:szCs w:val="21"/>
                <w:lang w:bidi="ar"/>
              </w:rPr>
              <w:t>限价（元）</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16F34E5">
            <w:pPr>
              <w:widowControl/>
              <w:spacing w:line="240" w:lineRule="auto"/>
              <w:jc w:val="center"/>
              <w:textAlignment w:val="center"/>
              <w:rPr>
                <w:rFonts w:hint="default" w:asciiTheme="minorEastAsia" w:hAnsiTheme="minorEastAsia" w:eastAsiaTheme="minorEastAsia" w:cstheme="minorEastAsia"/>
                <w:b/>
                <w:bCs/>
                <w:kern w:val="0"/>
                <w:sz w:val="21"/>
                <w:szCs w:val="21"/>
                <w:lang w:val="en-US" w:eastAsia="zh-CN" w:bidi="ar"/>
              </w:rPr>
            </w:pPr>
            <w:r>
              <w:rPr>
                <w:rFonts w:hint="eastAsia" w:asciiTheme="minorEastAsia" w:hAnsiTheme="minorEastAsia" w:eastAsiaTheme="minorEastAsia" w:cstheme="minorEastAsia"/>
                <w:b/>
                <w:bCs/>
                <w:kern w:val="0"/>
                <w:sz w:val="21"/>
                <w:szCs w:val="21"/>
                <w:lang w:val="en-US" w:eastAsia="zh-CN" w:bidi="ar"/>
              </w:rPr>
              <w:t>规格</w:t>
            </w:r>
          </w:p>
        </w:tc>
        <w:tc>
          <w:tcPr>
            <w:tcW w:w="829" w:type="dxa"/>
            <w:tcBorders>
              <w:top w:val="single" w:color="000000" w:sz="4" w:space="0"/>
              <w:left w:val="single" w:color="000000" w:sz="4" w:space="0"/>
              <w:bottom w:val="single" w:color="000000" w:sz="4" w:space="0"/>
              <w:right w:val="single" w:color="000000" w:sz="4" w:space="0"/>
            </w:tcBorders>
            <w:noWrap/>
            <w:vAlign w:val="center"/>
          </w:tcPr>
          <w:p w14:paraId="279A49DE">
            <w:pPr>
              <w:widowControl/>
              <w:spacing w:line="240" w:lineRule="auto"/>
              <w:jc w:val="center"/>
              <w:textAlignment w:val="center"/>
              <w:rPr>
                <w:rFonts w:hint="default" w:asciiTheme="minorEastAsia" w:hAnsiTheme="minorEastAsia" w:eastAsiaTheme="minorEastAsia" w:cstheme="minorEastAsia"/>
                <w:b/>
                <w:bCs/>
                <w:kern w:val="0"/>
                <w:sz w:val="21"/>
                <w:szCs w:val="21"/>
                <w:lang w:val="en-US" w:eastAsia="zh-CN" w:bidi="ar"/>
              </w:rPr>
            </w:pPr>
            <w:r>
              <w:rPr>
                <w:rFonts w:hint="eastAsia" w:asciiTheme="minorEastAsia" w:hAnsiTheme="minorEastAsia" w:eastAsiaTheme="minorEastAsia" w:cstheme="minorEastAsia"/>
                <w:b/>
                <w:bCs/>
                <w:kern w:val="0"/>
                <w:sz w:val="21"/>
                <w:szCs w:val="21"/>
                <w:lang w:val="en-US" w:eastAsia="zh-CN" w:bidi="ar"/>
              </w:rPr>
              <w:t>备注</w:t>
            </w:r>
          </w:p>
        </w:tc>
      </w:tr>
      <w:tr w14:paraId="0FDD988B">
        <w:tblPrEx>
          <w:tblCellMar>
            <w:top w:w="0" w:type="dxa"/>
            <w:left w:w="108" w:type="dxa"/>
            <w:bottom w:w="0" w:type="dxa"/>
            <w:right w:w="108" w:type="dxa"/>
          </w:tblCellMar>
        </w:tblPrEx>
        <w:trPr>
          <w:trHeight w:val="5418" w:hRule="atLeast"/>
          <w:jc w:val="center"/>
        </w:trPr>
        <w:tc>
          <w:tcPr>
            <w:tcW w:w="760" w:type="dxa"/>
            <w:tcBorders>
              <w:top w:val="single" w:color="auto" w:sz="4" w:space="0"/>
              <w:left w:val="single" w:color="auto" w:sz="4" w:space="0"/>
              <w:bottom w:val="single" w:color="auto" w:sz="4" w:space="0"/>
              <w:right w:val="single" w:color="auto" w:sz="4" w:space="0"/>
            </w:tcBorders>
            <w:noWrap/>
            <w:vAlign w:val="center"/>
          </w:tcPr>
          <w:p w14:paraId="2C301D05">
            <w:pPr>
              <w:widowControl/>
              <w:spacing w:line="240" w:lineRule="auto"/>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w:t>
            </w:r>
          </w:p>
        </w:tc>
        <w:tc>
          <w:tcPr>
            <w:tcW w:w="880" w:type="dxa"/>
            <w:tcBorders>
              <w:top w:val="single" w:color="auto" w:sz="4" w:space="0"/>
              <w:left w:val="single" w:color="auto" w:sz="4" w:space="0"/>
              <w:bottom w:val="single" w:color="auto" w:sz="4" w:space="0"/>
              <w:right w:val="single" w:color="auto" w:sz="4" w:space="0"/>
            </w:tcBorders>
            <w:noWrap/>
            <w:vAlign w:val="center"/>
          </w:tcPr>
          <w:p w14:paraId="4CD601D6">
            <w:pPr>
              <w:widowControl/>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医用干式胶片</w:t>
            </w:r>
          </w:p>
        </w:tc>
        <w:tc>
          <w:tcPr>
            <w:tcW w:w="3668" w:type="dxa"/>
            <w:tcBorders>
              <w:top w:val="single" w:color="auto" w:sz="4" w:space="0"/>
              <w:left w:val="single" w:color="auto" w:sz="4" w:space="0"/>
              <w:bottom w:val="single" w:color="auto" w:sz="4" w:space="0"/>
              <w:right w:val="single" w:color="000000" w:sz="4" w:space="0"/>
            </w:tcBorders>
            <w:noWrap/>
            <w:vAlign w:val="center"/>
          </w:tcPr>
          <w:p w14:paraId="135759AC">
            <w:pPr>
              <w:widowControl/>
              <w:spacing w:line="240" w:lineRule="auto"/>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1、胶片名称及要求：医用干式热敏胶片（非碳粉、非喷墨），采用明室装载，胶片在灯光下安装不曝光</w:t>
            </w:r>
          </w:p>
          <w:p w14:paraId="31ABDAED">
            <w:pPr>
              <w:widowControl/>
              <w:spacing w:line="240" w:lineRule="auto"/>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2、规格：10×12英寸、14×17 英寸 </w:t>
            </w:r>
          </w:p>
          <w:p w14:paraId="280E1A9C">
            <w:pPr>
              <w:widowControl/>
              <w:spacing w:line="240" w:lineRule="auto"/>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3、分辨率：≥508dpi </w:t>
            </w:r>
          </w:p>
          <w:p w14:paraId="75BC1851">
            <w:pPr>
              <w:widowControl/>
              <w:spacing w:line="240" w:lineRule="auto"/>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4、灰阶对比：≥14bit </w:t>
            </w:r>
          </w:p>
          <w:p w14:paraId="0264B569">
            <w:pPr>
              <w:widowControl/>
              <w:spacing w:line="240" w:lineRule="auto"/>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5、灰雾密度：≤0.08</w:t>
            </w:r>
          </w:p>
          <w:p w14:paraId="2D19A6A4">
            <w:pPr>
              <w:widowControl/>
              <w:spacing w:line="240" w:lineRule="auto"/>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6、最大密度：≥2.7</w:t>
            </w:r>
          </w:p>
          <w:p w14:paraId="50E49A0F">
            <w:pPr>
              <w:widowControl/>
              <w:spacing w:line="240" w:lineRule="auto"/>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7、热敏胶片环保、无毒害（提供检测报告）</w:t>
            </w:r>
          </w:p>
          <w:p w14:paraId="612D83F2">
            <w:pPr>
              <w:widowControl/>
              <w:spacing w:line="240" w:lineRule="auto"/>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8、打印技术：直接成像（干式打印，提供图像输出方法证明证书）。</w:t>
            </w:r>
          </w:p>
          <w:p w14:paraId="281B9E23">
            <w:pPr>
              <w:widowControl/>
              <w:spacing w:line="240" w:lineRule="auto"/>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9、图像打印机打印速度： ≥60 张/小时。</w:t>
            </w:r>
          </w:p>
          <w:p w14:paraId="5EAE4E93">
            <w:pPr>
              <w:widowControl/>
              <w:spacing w:line="24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10、片盒数量与容量：标配在线≥2个供片盒，并且每个片盒可以支持任意规格的胶片，单个片盒容量≥100张。</w:t>
            </w:r>
          </w:p>
        </w:tc>
        <w:tc>
          <w:tcPr>
            <w:tcW w:w="600" w:type="dxa"/>
            <w:tcBorders>
              <w:top w:val="single" w:color="000000" w:sz="4" w:space="0"/>
              <w:left w:val="single" w:color="000000" w:sz="4" w:space="0"/>
              <w:bottom w:val="single" w:color="auto" w:sz="4" w:space="0"/>
              <w:right w:val="single" w:color="000000" w:sz="4" w:space="0"/>
            </w:tcBorders>
            <w:noWrap/>
            <w:vAlign w:val="center"/>
          </w:tcPr>
          <w:p w14:paraId="600948FF">
            <w:pPr>
              <w:widowControl/>
              <w:spacing w:line="240" w:lineRule="auto"/>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张</w:t>
            </w:r>
          </w:p>
        </w:tc>
        <w:tc>
          <w:tcPr>
            <w:tcW w:w="1095" w:type="dxa"/>
            <w:tcBorders>
              <w:top w:val="single" w:color="000000" w:sz="4" w:space="0"/>
              <w:left w:val="single" w:color="000000" w:sz="4" w:space="0"/>
              <w:bottom w:val="single" w:color="auto" w:sz="4" w:space="0"/>
              <w:right w:val="single" w:color="000000" w:sz="4" w:space="0"/>
            </w:tcBorders>
            <w:noWrap/>
            <w:vAlign w:val="center"/>
          </w:tcPr>
          <w:p w14:paraId="5F42588B">
            <w:pPr>
              <w:widowControl/>
              <w:spacing w:line="240" w:lineRule="auto"/>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13000张</w:t>
            </w:r>
          </w:p>
        </w:tc>
        <w:tc>
          <w:tcPr>
            <w:tcW w:w="1125" w:type="dxa"/>
            <w:tcBorders>
              <w:top w:val="single" w:color="000000" w:sz="4" w:space="0"/>
              <w:left w:val="single" w:color="000000" w:sz="4" w:space="0"/>
              <w:bottom w:val="single" w:color="auto" w:sz="4" w:space="0"/>
              <w:right w:val="single" w:color="000000" w:sz="4" w:space="0"/>
            </w:tcBorders>
            <w:noWrap/>
            <w:vAlign w:val="center"/>
          </w:tcPr>
          <w:p w14:paraId="52EF785D">
            <w:pPr>
              <w:widowControl/>
              <w:spacing w:line="240" w:lineRule="auto"/>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7元/张</w:t>
            </w:r>
            <w:bookmarkStart w:id="2" w:name="_GoBack"/>
            <w:bookmarkEnd w:id="2"/>
          </w:p>
        </w:tc>
        <w:tc>
          <w:tcPr>
            <w:tcW w:w="742" w:type="dxa"/>
            <w:tcBorders>
              <w:top w:val="single" w:color="000000" w:sz="4" w:space="0"/>
              <w:left w:val="single" w:color="000000" w:sz="4" w:space="0"/>
              <w:bottom w:val="single" w:color="auto" w:sz="4" w:space="0"/>
              <w:right w:val="single" w:color="000000" w:sz="4" w:space="0"/>
            </w:tcBorders>
            <w:noWrap/>
            <w:vAlign w:val="center"/>
          </w:tcPr>
          <w:p w14:paraId="2BDA78C7">
            <w:pPr>
              <w:widowControl/>
              <w:spacing w:line="240" w:lineRule="auto"/>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各规格</w:t>
            </w:r>
          </w:p>
        </w:tc>
        <w:tc>
          <w:tcPr>
            <w:tcW w:w="829" w:type="dxa"/>
            <w:tcBorders>
              <w:top w:val="single" w:color="000000" w:sz="4" w:space="0"/>
              <w:left w:val="single" w:color="000000" w:sz="4" w:space="0"/>
              <w:bottom w:val="single" w:color="auto" w:sz="4" w:space="0"/>
              <w:right w:val="single" w:color="000000" w:sz="4" w:space="0"/>
            </w:tcBorders>
            <w:noWrap/>
            <w:vAlign w:val="center"/>
          </w:tcPr>
          <w:p w14:paraId="0BD4DF41">
            <w:pPr>
              <w:widowControl/>
              <w:spacing w:line="240" w:lineRule="auto"/>
              <w:jc w:val="center"/>
              <w:textAlignment w:val="center"/>
              <w:rPr>
                <w:rFonts w:hint="eastAsia" w:asciiTheme="minorEastAsia" w:hAnsiTheme="minorEastAsia" w:eastAsiaTheme="minorEastAsia" w:cstheme="minorEastAsia"/>
                <w:sz w:val="21"/>
                <w:szCs w:val="21"/>
                <w:lang w:val="en-US" w:eastAsia="zh-CN"/>
              </w:rPr>
            </w:pPr>
          </w:p>
        </w:tc>
      </w:tr>
      <w:tr w14:paraId="1FB012AE">
        <w:tblPrEx>
          <w:tblCellMar>
            <w:top w:w="0" w:type="dxa"/>
            <w:left w:w="108" w:type="dxa"/>
            <w:bottom w:w="0" w:type="dxa"/>
            <w:right w:w="108" w:type="dxa"/>
          </w:tblCellMar>
        </w:tblPrEx>
        <w:trPr>
          <w:trHeight w:val="492" w:hRule="atLeast"/>
          <w:jc w:val="center"/>
        </w:trPr>
        <w:tc>
          <w:tcPr>
            <w:tcW w:w="9699" w:type="dxa"/>
            <w:gridSpan w:val="8"/>
            <w:tcBorders>
              <w:top w:val="single" w:color="auto" w:sz="4" w:space="0"/>
              <w:left w:val="single" w:color="auto" w:sz="4" w:space="0"/>
              <w:bottom w:val="single" w:color="auto" w:sz="4" w:space="0"/>
              <w:right w:val="single" w:color="000000" w:sz="4" w:space="0"/>
            </w:tcBorders>
            <w:noWrap/>
            <w:vAlign w:val="center"/>
          </w:tcPr>
          <w:p w14:paraId="574618E8">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说明：</w:t>
            </w:r>
          </w:p>
          <w:p w14:paraId="341E8064">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1、投标人的投标文件必须标明所投货物的品牌与参数，保证原厂正品供货；</w:t>
            </w:r>
          </w:p>
          <w:p w14:paraId="0C4E202B">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2、本项目预计采购量仅供投标人参考；</w:t>
            </w:r>
          </w:p>
          <w:p w14:paraId="38B245B7">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3、本项目一次性规划，分步实施，按实结算。本项目进入采购人医院SPD管理；</w:t>
            </w:r>
          </w:p>
          <w:p w14:paraId="598AD6AA">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4、投标人所投产品单价不得高于该产品单价限价，否则视为无效响应。</w:t>
            </w:r>
          </w:p>
          <w:p w14:paraId="67CFDD0B">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5、供货期限内如遇国家、省医保带量采购等相关政策调整，按国家、省医保带量采购等相关政策执行；</w:t>
            </w:r>
          </w:p>
          <w:p w14:paraId="2D90D95A">
            <w:pPr>
              <w:numPr>
                <w:ilvl w:val="0"/>
                <w:numId w:val="0"/>
              </w:numPr>
              <w:bidi w:val="0"/>
              <w:rPr>
                <w:rFonts w:hint="eastAsia"/>
                <w:b/>
                <w:bCs/>
                <w:highlight w:val="none"/>
                <w:lang w:val="en-US" w:eastAsia="zh-CN"/>
              </w:rPr>
            </w:pPr>
            <w:r>
              <w:rPr>
                <w:rFonts w:hint="eastAsia" w:asciiTheme="minorEastAsia" w:hAnsiTheme="minorEastAsia" w:eastAsiaTheme="minorEastAsia" w:cstheme="minorEastAsia"/>
                <w:b/>
                <w:bCs/>
                <w:sz w:val="21"/>
                <w:szCs w:val="21"/>
                <w:highlight w:val="none"/>
                <w:lang w:val="en-US" w:eastAsia="zh-CN"/>
              </w:rPr>
              <w:t>6、</w:t>
            </w:r>
            <w:r>
              <w:rPr>
                <w:rFonts w:hint="eastAsia"/>
                <w:b/>
                <w:bCs/>
                <w:highlight w:val="none"/>
                <w:lang w:val="en-US" w:eastAsia="zh-CN"/>
              </w:rPr>
              <w:t>中标人供货价格计算方式如下：最高限价（单价）×中标费率=供货价格（单价）。如所投产品的安徽省医药集中采购中心平台限价低于该项目供货价格（单价），则按平台限价（单价）×中标费率=供货价格（单价）。供货价格即为合同价款。</w:t>
            </w:r>
          </w:p>
          <w:p w14:paraId="00A914B9">
            <w:pPr>
              <w:numPr>
                <w:ilvl w:val="0"/>
                <w:numId w:val="0"/>
              </w:numPr>
              <w:bidi w:val="0"/>
              <w:rPr>
                <w:rFonts w:hint="eastAsia"/>
                <w:b/>
                <w:bCs/>
                <w:highlight w:val="none"/>
                <w:lang w:val="en-US" w:eastAsia="zh-CN"/>
              </w:rPr>
            </w:pPr>
            <w:r>
              <w:rPr>
                <w:rFonts w:hint="eastAsia"/>
                <w:b/>
                <w:bCs/>
                <w:highlight w:val="none"/>
                <w:lang w:val="en-US" w:eastAsia="zh-CN"/>
              </w:rPr>
              <w:t>7、所投产品如有两票制要求则须执行两票制相关要求；所投产品如安徽省医药集中采购中心有相关要求，则须执行安徽省医药集中采购中心相关要求(如：在平台配送等)。</w:t>
            </w:r>
          </w:p>
          <w:p w14:paraId="113511D2">
            <w:pPr>
              <w:numPr>
                <w:ilvl w:val="0"/>
                <w:numId w:val="0"/>
              </w:numPr>
              <w:bidi w:val="0"/>
              <w:rPr>
                <w:rFonts w:hint="eastAsia"/>
                <w:b/>
                <w:bCs/>
                <w:highlight w:val="none"/>
                <w:lang w:val="en-US" w:eastAsia="zh-CN"/>
              </w:rPr>
            </w:pPr>
            <w:r>
              <w:rPr>
                <w:rFonts w:hint="eastAsia"/>
                <w:b/>
                <w:bCs/>
                <w:highlight w:val="none"/>
                <w:lang w:val="en-US" w:eastAsia="zh-CN"/>
              </w:rPr>
              <w:t>8、最高投标费率：100%。</w:t>
            </w:r>
          </w:p>
          <w:p w14:paraId="52CEE583">
            <w:pPr>
              <w:pStyle w:val="3"/>
              <w:rPr>
                <w:rFonts w:hint="default"/>
                <w:lang w:val="en-US" w:eastAsia="zh-CN"/>
              </w:rPr>
            </w:pPr>
            <w:r>
              <w:rPr>
                <w:rFonts w:hint="eastAsia" w:asciiTheme="minorEastAsia" w:hAnsiTheme="minorEastAsia" w:eastAsiaTheme="minorEastAsia" w:cstheme="minorEastAsia"/>
                <w:sz w:val="21"/>
                <w:szCs w:val="21"/>
                <w:highlight w:val="none"/>
                <w:lang w:val="en-US" w:eastAsia="zh-CN"/>
              </w:rPr>
              <w:t>9、中标人</w:t>
            </w:r>
            <w:r>
              <w:rPr>
                <w:rFonts w:hint="eastAsia" w:asciiTheme="minorEastAsia" w:hAnsiTheme="minorEastAsia" w:eastAsiaTheme="minorEastAsia" w:cstheme="minorEastAsia"/>
                <w:b/>
                <w:bCs/>
                <w:sz w:val="21"/>
                <w:szCs w:val="21"/>
                <w:highlight w:val="none"/>
                <w:lang w:val="en-US" w:eastAsia="zh-CN"/>
              </w:rPr>
              <w:t>供货期内需提供2台配套影像打印平台，并负责与his系统连接，可同时打印胶片和报告。若与his系统连接时发生费用由中标人承担，投标人报价综合考虑，采购人不再另行支付。</w:t>
            </w:r>
          </w:p>
        </w:tc>
      </w:tr>
    </w:tbl>
    <w:p w14:paraId="111EF2E4">
      <w:pPr>
        <w:pStyle w:val="8"/>
        <w:shd w:val="clear" w:color="auto" w:fill="FFFFFF"/>
        <w:spacing w:line="360" w:lineRule="auto"/>
        <w:ind w:left="0" w:leftChars="0" w:firstLine="422" w:firstLineChars="200"/>
        <w:jc w:val="left"/>
        <w:rPr>
          <w:rFonts w:hint="eastAsia" w:asciiTheme="minorEastAsia" w:hAnsiTheme="minorEastAsia" w:eastAsiaTheme="minorEastAsia" w:cstheme="minorEastAsia"/>
          <w:b/>
          <w:sz w:val="21"/>
          <w:szCs w:val="21"/>
        </w:rPr>
      </w:pPr>
    </w:p>
    <w:p w14:paraId="52B5B4C2">
      <w:pPr>
        <w:pStyle w:val="8"/>
        <w:shd w:val="clear" w:color="auto" w:fill="FFFFFF"/>
        <w:spacing w:line="360" w:lineRule="auto"/>
        <w:ind w:left="0" w:leftChars="0" w:firstLine="422" w:firstLineChars="200"/>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二、质量要求</w:t>
      </w:r>
    </w:p>
    <w:p w14:paraId="1FE466B9">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人提供的货物必须是全新、标识清楚、符合国家规定的质量标准或行业现行标准的要求。没有国家标准和行业标准的，应达到经主管部门批准的企业现行标准要求，符合采购人采购文件和投标人投标文件所要求的技术标准。杜绝证照不全、假冒、伪劣、过期、失效、淘汰或不合格的产品进入医院，否则，投标人承担由此造成的一切后果。</w:t>
      </w:r>
    </w:p>
    <w:p w14:paraId="18457E6F">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2.保证投标产品的质量，其供货时剩余有效期时间不得少于有效期的2/3。</w:t>
      </w:r>
    </w:p>
    <w:p w14:paraId="3D1016C8">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3.保证是原产地生产的原装产品，否则视为假冒伪劣产品。</w:t>
      </w:r>
    </w:p>
    <w:p w14:paraId="2D46C1D0">
      <w:pPr>
        <w:pStyle w:val="8"/>
        <w:shd w:val="clear" w:color="auto" w:fill="FFFFFF"/>
        <w:spacing w:line="360" w:lineRule="auto"/>
        <w:ind w:firstLine="422" w:firstLineChars="200"/>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三、</w:t>
      </w:r>
      <w:r>
        <w:rPr>
          <w:rFonts w:hint="eastAsia" w:asciiTheme="minorEastAsia" w:hAnsiTheme="minorEastAsia" w:eastAsiaTheme="minorEastAsia" w:cstheme="minorEastAsia"/>
          <w:b/>
          <w:sz w:val="21"/>
          <w:szCs w:val="21"/>
        </w:rPr>
        <w:t>供货期</w:t>
      </w:r>
    </w:p>
    <w:p w14:paraId="0E860329">
      <w:pPr>
        <w:pStyle w:val="8"/>
        <w:shd w:val="clear" w:color="auto" w:fill="FFFFFF"/>
        <w:spacing w:line="360" w:lineRule="auto"/>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自合同执行</w:t>
      </w:r>
      <w:r>
        <w:rPr>
          <w:rFonts w:hint="eastAsia" w:asciiTheme="minorEastAsia" w:hAnsiTheme="minorEastAsia" w:eastAsiaTheme="minorEastAsia" w:cstheme="minorEastAsia"/>
          <w:sz w:val="21"/>
          <w:szCs w:val="21"/>
          <w:lang w:val="en-US" w:eastAsia="zh-CN"/>
        </w:rPr>
        <w:t>之</w:t>
      </w:r>
      <w:r>
        <w:rPr>
          <w:rFonts w:hint="eastAsia" w:asciiTheme="minorEastAsia" w:hAnsiTheme="minorEastAsia" w:eastAsiaTheme="minorEastAsia" w:cstheme="minorEastAsia"/>
          <w:sz w:val="21"/>
          <w:szCs w:val="21"/>
          <w:lang w:eastAsia="zh-CN"/>
        </w:rPr>
        <w:t>日起三年或采购费用总额达到中标总价（预算金额×</w:t>
      </w:r>
      <w:r>
        <w:rPr>
          <w:rFonts w:hint="eastAsia" w:asciiTheme="minorEastAsia" w:hAnsiTheme="minorEastAsia" w:eastAsiaTheme="minorEastAsia" w:cstheme="minorEastAsia"/>
          <w:sz w:val="21"/>
          <w:szCs w:val="21"/>
          <w:lang w:val="en-US" w:eastAsia="zh-CN"/>
        </w:rPr>
        <w:t>中标</w:t>
      </w:r>
      <w:r>
        <w:rPr>
          <w:rFonts w:hint="eastAsia" w:asciiTheme="minorEastAsia" w:hAnsiTheme="minorEastAsia" w:eastAsiaTheme="minorEastAsia" w:cstheme="minorEastAsia"/>
          <w:sz w:val="21"/>
          <w:szCs w:val="21"/>
          <w:lang w:eastAsia="zh-CN"/>
        </w:rPr>
        <w:t>费率）时，两者以先到者为准，在供货期内按照采购人的要求分批供货，据实结算。</w:t>
      </w:r>
    </w:p>
    <w:p w14:paraId="4633F105">
      <w:pPr>
        <w:pStyle w:val="8"/>
        <w:shd w:val="clear" w:color="auto" w:fill="FFFFFF"/>
        <w:spacing w:line="360" w:lineRule="auto"/>
        <w:ind w:firstLine="422" w:firstLineChars="200"/>
        <w:jc w:val="left"/>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四、供货及售后要求</w:t>
      </w:r>
    </w:p>
    <w:p w14:paraId="51B21E56">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1.中标人接到采购人供货通知，根据采购人通知的规格型号和数量按计划送货，按照采购人要求送至指定地点，负责运输。</w:t>
      </w:r>
    </w:p>
    <w:p w14:paraId="3942BB0F">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2.中标人根据采购人采购计划进行供货，不允许超计划供货，超出计划的数量，采购人不予验收入库，由中标人无条件带回。</w:t>
      </w:r>
    </w:p>
    <w:p w14:paraId="500F04EA">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3.中标人所投的品牌货物在供货或使用过程中出现质量和使用问题，采购人有权要求更换，直至采购人满意，且不再另行支付任何费用。</w:t>
      </w:r>
    </w:p>
    <w:p w14:paraId="6B3C765F">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4.按采购人实际需求进行供货，中标人须无条件满足采购人需求，确保供货质量并及时供货。</w:t>
      </w:r>
    </w:p>
    <w:p w14:paraId="099613E6">
      <w:pPr>
        <w:pStyle w:val="8"/>
        <w:shd w:val="clear" w:color="auto" w:fill="FFFFFF"/>
        <w:spacing w:line="360" w:lineRule="auto"/>
        <w:ind w:firstLine="422" w:firstLineChars="200"/>
        <w:jc w:val="left"/>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五、验收</w:t>
      </w:r>
    </w:p>
    <w:p w14:paraId="5D861BEB">
      <w:pPr>
        <w:spacing w:line="240" w:lineRule="auto"/>
        <w:ind w:firstLine="420" w:firstLineChars="200"/>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sz w:val="21"/>
          <w:szCs w:val="21"/>
        </w:rPr>
        <w:t>验收时采购人和中标人双方共同实施验收工作，验收合格后，结果和验收报告经双方确认后生效。</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b/>
          <w:kern w:val="2"/>
          <w:sz w:val="21"/>
          <w:szCs w:val="21"/>
          <w:lang w:val="en-US" w:eastAsia="zh-CN" w:bidi="ar-SA"/>
        </w:rPr>
        <w:t>六、付款方式</w:t>
      </w:r>
    </w:p>
    <w:p w14:paraId="09F5AA18">
      <w:pPr>
        <w:spacing w:line="360" w:lineRule="auto"/>
        <w:ind w:firstLine="420" w:firstLineChars="200"/>
      </w:pPr>
      <w:r>
        <w:rPr>
          <w:rFonts w:hint="eastAsia" w:asciiTheme="minorEastAsia" w:hAnsiTheme="minorEastAsia" w:eastAsiaTheme="minorEastAsia" w:cstheme="minorEastAsia"/>
          <w:sz w:val="21"/>
          <w:szCs w:val="21"/>
        </w:rPr>
        <w:t>本项目一次性规划，分步实施，按实结算，货到验收合格、收到正规发票后6个月内付款。</w:t>
      </w:r>
      <w:bookmarkEnd w:id="0"/>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85DDD">
    <w:pPr>
      <w:pStyle w:val="4"/>
      <w:pBdr>
        <w:top w:val="single" w:color="auto" w:sz="4" w:space="1"/>
      </w:pBdr>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CB439F"/>
    <w:rsid w:val="5EA75B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3"/>
    <w:basedOn w:val="1"/>
    <w:next w:val="1"/>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1445</Words>
  <Characters>1489</Characters>
  <Lines>0</Lines>
  <Paragraphs>0</Paragraphs>
  <TotalTime>0</TotalTime>
  <ScaleCrop>false</ScaleCrop>
  <LinksUpToDate>false</LinksUpToDate>
  <CharactersWithSpaces>1499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mac</dc:creator>
  <cp:lastModifiedBy>青山隐隐</cp:lastModifiedBy>
  <dcterms:modified xsi:type="dcterms:W3CDTF">2025-07-22T02:21:08Z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eyJoZGlkIjoiYmUxMmZmNWFhZWJjODQ4ZDAzOGJjNjFhYTBjMjc3MzEiLCJ1c2VySWQiOiIzNzkwODk2NDUifQ==</vt:lpwstr>
  </property>
  <property fmtid="{D5CDD505-2E9C-101B-9397-08002B2CF9AE}" pid="4" name="ICV">
    <vt:lpwstr>2CBB096DAFDD44F6B2F769117512A1C0_12</vt:lpwstr>
  </property>
</Properties>
</file>